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E9AA" w14:textId="77777777" w:rsidR="00EE412C" w:rsidRDefault="00EE412C" w:rsidP="00CB1A4E">
      <w:pPr>
        <w:pStyle w:val="Heading1"/>
        <w:spacing w:before="0"/>
      </w:pPr>
      <w:r w:rsidRPr="00EE412C">
        <w:t xml:space="preserve">Care Plan </w:t>
      </w:r>
      <w:r>
        <w:t>Template</w:t>
      </w:r>
    </w:p>
    <w:p w14:paraId="73D5C74B" w14:textId="77777777" w:rsidR="00E91DF7" w:rsidRPr="00CB1A4E" w:rsidRDefault="00EE412C" w:rsidP="00EE412C">
      <w:pPr>
        <w:rPr>
          <w:rFonts w:asciiTheme="majorHAnsi" w:hAnsiTheme="majorHAnsi" w:cstheme="majorHAnsi"/>
          <w:b/>
          <w:sz w:val="28"/>
          <w:szCs w:val="32"/>
        </w:rPr>
      </w:pPr>
      <w:r w:rsidRPr="00CB1A4E">
        <w:rPr>
          <w:rFonts w:asciiTheme="majorHAnsi" w:hAnsiTheme="majorHAnsi" w:cstheme="majorHAnsi"/>
          <w:b/>
          <w:sz w:val="28"/>
          <w:szCs w:val="32"/>
        </w:rPr>
        <w:t>Using the Clinical Judgment Model</w:t>
      </w:r>
    </w:p>
    <w:p w14:paraId="6B4B6C59" w14:textId="5AB0181A" w:rsidR="00CB1A4E" w:rsidRDefault="00CB1A4E" w:rsidP="00CB1A4E">
      <w:pPr>
        <w:spacing w:after="0"/>
      </w:pPr>
      <w:r>
        <w:t>Student Name:</w:t>
      </w:r>
      <w:r w:rsidR="00C976E4">
        <w:t xml:space="preserve">  Mary Egan</w:t>
      </w:r>
    </w:p>
    <w:p w14:paraId="478885F2" w14:textId="77777777" w:rsidR="00CB1A4E" w:rsidRDefault="00CB1A4E" w:rsidP="00CB1A4E">
      <w:r>
        <w:t>Course Number and Name:</w:t>
      </w:r>
    </w:p>
    <w:p w14:paraId="5B87793E" w14:textId="16AB94F5" w:rsidR="00CB1A4E" w:rsidRDefault="00C976E4" w:rsidP="00CB1A4E">
      <w:pPr>
        <w:pStyle w:val="Heading2"/>
        <w:sectPr w:rsidR="00CB1A4E" w:rsidSect="00CB1A4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432" w:footer="720" w:gutter="0"/>
          <w:cols w:num="2" w:space="720"/>
          <w:docGrid w:linePitch="360"/>
        </w:sectPr>
      </w:pPr>
      <w:r>
        <w:t>417 315</w:t>
      </w:r>
    </w:p>
    <w:p w14:paraId="774321AD" w14:textId="77777777" w:rsidR="00CB1A4E" w:rsidRDefault="00CB1A4E" w:rsidP="00CB1A4E">
      <w:pPr>
        <w:pStyle w:val="Heading2"/>
      </w:pPr>
      <w:r>
        <w:t>Client Information</w:t>
      </w:r>
    </w:p>
    <w:p w14:paraId="656FE81A" w14:textId="1D4BB3D4" w:rsidR="00EE412C" w:rsidRDefault="00CB1A4E" w:rsidP="00CB1A4E">
      <w:pPr>
        <w:spacing w:after="0"/>
      </w:pPr>
      <w:r>
        <w:t>Client Name or Initials (if bedside nursing):</w:t>
      </w:r>
      <w:r w:rsidR="00475956">
        <w:t xml:space="preserve">   </w:t>
      </w:r>
      <w:r w:rsidR="00304D51">
        <w:t>A.B Age</w:t>
      </w:r>
      <w:r w:rsidR="00C976E4">
        <w:t xml:space="preserve"> 44 years Spanish speaker (requires interpreter)</w:t>
      </w:r>
    </w:p>
    <w:p w14:paraId="37963F4A" w14:textId="77777777" w:rsidR="0093524F" w:rsidRDefault="0093524F" w:rsidP="00CB1A4E">
      <w:pPr>
        <w:spacing w:after="0"/>
      </w:pPr>
    </w:p>
    <w:p w14:paraId="29BA332C" w14:textId="721247C0" w:rsidR="0093524F" w:rsidRDefault="0093524F" w:rsidP="0093524F">
      <w:pPr>
        <w:pStyle w:val="Heading2"/>
      </w:pPr>
      <w:r>
        <w:t>Clinical Picture</w:t>
      </w:r>
    </w:p>
    <w:p w14:paraId="1781EE5E" w14:textId="74EAFBB9" w:rsidR="0093524F" w:rsidRDefault="0093524F" w:rsidP="0093524F">
      <w:r>
        <w:t xml:space="preserve">Write your client’s clinical picture here. </w:t>
      </w:r>
      <w:r w:rsidR="00475956">
        <w:t xml:space="preserve">Patient presented at ER 4 days prior with high fever, and pain.  Initially reported as leg pain, upon assessment abscess discovered on right buttock, swollen, purulent, and painful.  Patient admitted for surgical repair, abscess opened and drained.  Wound left open for drainage and packed with antiseptic dressing.  Patient </w:t>
      </w:r>
      <w:r w:rsidR="0009319A">
        <w:t>admitted to Med surg unit</w:t>
      </w:r>
      <w:r w:rsidR="00475956">
        <w:t xml:space="preserve"> </w:t>
      </w:r>
      <w:r w:rsidR="0009319A">
        <w:t>for</w:t>
      </w:r>
      <w:r w:rsidR="00475956">
        <w:t xml:space="preserve"> </w:t>
      </w:r>
      <w:r w:rsidR="0009319A">
        <w:t xml:space="preserve">monitoring, </w:t>
      </w:r>
      <w:r w:rsidR="00475956">
        <w:t>antibiotic</w:t>
      </w:r>
      <w:r w:rsidR="0009319A">
        <w:t xml:space="preserve"> administration</w:t>
      </w:r>
      <w:r w:rsidR="00475956">
        <w:t xml:space="preserve"> IV fluids, Insulin management, and wound care.  </w:t>
      </w:r>
      <w:r w:rsidR="0009319A">
        <w:t>Patient at risk for sepsis</w:t>
      </w:r>
      <w:r w:rsidR="00401BF1">
        <w:t xml:space="preserve"> shock.</w:t>
      </w:r>
      <w:r w:rsidR="00B63DAD">
        <w:t xml:space="preserve"> </w:t>
      </w:r>
    </w:p>
    <w:p w14:paraId="30C5FBFA" w14:textId="12AABD97" w:rsidR="0093524F" w:rsidRPr="00DC5537" w:rsidRDefault="0093524F" w:rsidP="00DC5537">
      <w:pPr>
        <w:pStyle w:val="NoSpacing"/>
        <w:rPr>
          <w:b/>
          <w:bCs/>
        </w:rPr>
      </w:pPr>
      <w:r w:rsidRPr="00DC5537">
        <w:rPr>
          <w:b/>
          <w:bCs/>
        </w:rPr>
        <w:t>Example:</w:t>
      </w:r>
    </w:p>
    <w:p w14:paraId="510A01EC" w14:textId="507C9A53" w:rsidR="0093524F" w:rsidRPr="00DC5537" w:rsidRDefault="0093524F" w:rsidP="00DC5537">
      <w:pPr>
        <w:pStyle w:val="NoSpacing"/>
        <w:rPr>
          <w:b/>
          <w:bCs/>
        </w:rPr>
      </w:pPr>
      <w:r w:rsidRPr="00DC5537">
        <w:rPr>
          <w:b/>
          <w:bCs/>
        </w:rPr>
        <w:t>KP is a 54 y/o female admitted through the ER for complaints of (c/o) weakness, fatigue, and shortness of breath.</w:t>
      </w:r>
    </w:p>
    <w:p w14:paraId="4CBECE6A" w14:textId="62CF6EC8" w:rsidR="0093524F" w:rsidRPr="00DC5537" w:rsidRDefault="0093524F" w:rsidP="00DC5537">
      <w:pPr>
        <w:pStyle w:val="NoSpacing"/>
        <w:rPr>
          <w:b/>
          <w:bCs/>
        </w:rPr>
      </w:pPr>
      <w:r w:rsidRPr="00DC5537">
        <w:rPr>
          <w:b/>
          <w:bCs/>
        </w:rPr>
        <w:t>PMHX: HTN, DM2, Obesity, Smoker</w:t>
      </w:r>
    </w:p>
    <w:p w14:paraId="0825E6EA" w14:textId="30F58361" w:rsidR="00CF2224" w:rsidRDefault="0093524F" w:rsidP="00DC5537">
      <w:pPr>
        <w:pStyle w:val="NoSpacing"/>
        <w:rPr>
          <w:b/>
          <w:bCs/>
        </w:rPr>
      </w:pPr>
      <w:r w:rsidRPr="00DC5537">
        <w:rPr>
          <w:b/>
          <w:bCs/>
        </w:rPr>
        <w:t>Final DX: Chest pain rule out (r/o) myocardial infarction (MI)</w:t>
      </w:r>
    </w:p>
    <w:p w14:paraId="2826A181" w14:textId="77777777" w:rsidR="00CF2224" w:rsidRPr="00DC5537" w:rsidRDefault="00CF2224" w:rsidP="00DC5537">
      <w:pPr>
        <w:pStyle w:val="NoSpacing"/>
        <w:rPr>
          <w:b/>
          <w:bCs/>
        </w:rPr>
      </w:pPr>
    </w:p>
    <w:p w14:paraId="480E08CB" w14:textId="77777777" w:rsidR="00CB1A4E" w:rsidRDefault="00CB1A4E" w:rsidP="00CB1A4E">
      <w:pPr>
        <w:pStyle w:val="Heading2"/>
      </w:pPr>
      <w:r>
        <w:t>P</w:t>
      </w:r>
      <w:r w:rsidRPr="00CB1A4E">
        <w:t>athophysiology</w:t>
      </w:r>
    </w:p>
    <w:p w14:paraId="5D743A79" w14:textId="77777777" w:rsidR="00CB1A4E" w:rsidRDefault="00CB1A4E" w:rsidP="00CB1A4E">
      <w:r>
        <w:t xml:space="preserve">Review the pathophysiology of the disease process and the presented condition. </w:t>
      </w:r>
    </w:p>
    <w:p w14:paraId="4EF40EEB" w14:textId="62B2D874" w:rsidR="00CB1A4E" w:rsidRPr="00CB1A4E" w:rsidRDefault="00CB1A4E" w:rsidP="00CB1A4E">
      <w:pPr>
        <w:pStyle w:val="ListParagraph"/>
        <w:numPr>
          <w:ilvl w:val="0"/>
          <w:numId w:val="4"/>
        </w:numPr>
      </w:pPr>
      <w:r w:rsidRPr="00CB1A4E">
        <w:t>Describe the cause of the disease and/or the condition, down to the cellular level.</w:t>
      </w:r>
      <w:r w:rsidR="00475956">
        <w:t xml:space="preserve">  </w:t>
      </w:r>
      <w:r w:rsidR="004A3890">
        <w:t xml:space="preserve">Patient developed </w:t>
      </w:r>
      <w:r w:rsidR="00475956" w:rsidRPr="00475956">
        <w:t xml:space="preserve">infection when bacteria entered the body through </w:t>
      </w:r>
      <w:r w:rsidR="00A64E11">
        <w:t>a</w:t>
      </w:r>
      <w:r w:rsidR="0009319A">
        <w:t xml:space="preserve"> skin </w:t>
      </w:r>
      <w:r w:rsidR="00A64E11">
        <w:t>wound (</w:t>
      </w:r>
      <w:r w:rsidR="0009319A">
        <w:t>abscess on his</w:t>
      </w:r>
      <w:r w:rsidR="00A64E11">
        <w:t xml:space="preserve"> buttock</w:t>
      </w:r>
      <w:r w:rsidR="0009319A">
        <w:t>)</w:t>
      </w:r>
      <w:r w:rsidR="00475956" w:rsidRPr="00475956">
        <w:t xml:space="preserve">. </w:t>
      </w:r>
      <w:r w:rsidR="00A64E11">
        <w:t xml:space="preserve">In a patient with </w:t>
      </w:r>
      <w:r w:rsidR="00475956" w:rsidRPr="00475956">
        <w:t xml:space="preserve">uncontrolled Type 2 Diabetes Mellitus (T2DM), </w:t>
      </w:r>
      <w:r w:rsidR="0009319A">
        <w:t xml:space="preserve">chronic </w:t>
      </w:r>
      <w:r w:rsidR="00475956" w:rsidRPr="00475956">
        <w:t xml:space="preserve">elevated blood glucose levels </w:t>
      </w:r>
      <w:r w:rsidR="0009319A">
        <w:t xml:space="preserve">provide </w:t>
      </w:r>
      <w:proofErr w:type="spellStart"/>
      <w:proofErr w:type="gramStart"/>
      <w:r w:rsidR="0009319A">
        <w:t>a</w:t>
      </w:r>
      <w:proofErr w:type="spellEnd"/>
      <w:proofErr w:type="gramEnd"/>
      <w:r w:rsidR="0009319A">
        <w:t xml:space="preserve"> ideal environment for bacterial colonization and severe infection, T2DM and elevated glucose </w:t>
      </w:r>
      <w:r w:rsidR="00475956" w:rsidRPr="00475956">
        <w:t>impair</w:t>
      </w:r>
      <w:r w:rsidR="0009319A">
        <w:t>s</w:t>
      </w:r>
      <w:r w:rsidR="00475956" w:rsidRPr="00475956">
        <w:t xml:space="preserve"> neutrophil function, which reduces the body’s ability to contain and kill invading pathogens. </w:t>
      </w:r>
      <w:r w:rsidR="00A64E11">
        <w:t xml:space="preserve">This patient was recently diagnosed with T2DM, but he likely had a long period of high blood sugar prior to his diagnosis.  Elevated blood </w:t>
      </w:r>
      <w:r w:rsidR="00475956" w:rsidRPr="00475956">
        <w:t xml:space="preserve">glucose provides an ideal environment for bacterial growth. The body’s immune </w:t>
      </w:r>
      <w:r w:rsidR="00A64E11">
        <w:t>system responds to the pathogens and</w:t>
      </w:r>
      <w:r w:rsidR="00475956" w:rsidRPr="00475956">
        <w:t xml:space="preserve"> triggers inflammation</w:t>
      </w:r>
      <w:r w:rsidR="00A64E11">
        <w:t xml:space="preserve"> which consists of</w:t>
      </w:r>
      <w:r w:rsidR="00475956" w:rsidRPr="00475956">
        <w:t xml:space="preserve"> increased vascular permeability and the recruitment of white blood cells to the site</w:t>
      </w:r>
      <w:r w:rsidR="00A64E11">
        <w:t xml:space="preserve"> of the infection</w:t>
      </w:r>
      <w:r w:rsidR="00475956" w:rsidRPr="00475956">
        <w:t>. In severe infections, pro-inflammatory cytokines such as interleukin-1, interleukin-6, and tumor necrosis factor-alpha (TNF-α) may be released systemically</w:t>
      </w:r>
      <w:r w:rsidR="00A64E11">
        <w:t xml:space="preserve"> which can cause a systemic inflammatory response that increases</w:t>
      </w:r>
      <w:r w:rsidR="00475956" w:rsidRPr="00475956">
        <w:t xml:space="preserve"> the patient</w:t>
      </w:r>
      <w:r w:rsidR="00A64E11">
        <w:t xml:space="preserve">’s </w:t>
      </w:r>
      <w:r w:rsidR="00475956" w:rsidRPr="00475956">
        <w:t>risk for sepsis</w:t>
      </w:r>
      <w:r w:rsidR="00A64E11">
        <w:t xml:space="preserve">. </w:t>
      </w:r>
      <w:r w:rsidR="0009319A">
        <w:t>(Harding, 2023, Constantini, 2021)</w:t>
      </w:r>
    </w:p>
    <w:p w14:paraId="03ED3AD8" w14:textId="23B14099" w:rsidR="00CB1A4E" w:rsidRPr="00CB1A4E" w:rsidRDefault="00CB1A4E" w:rsidP="00CB1A4E">
      <w:pPr>
        <w:pStyle w:val="ListParagraph"/>
        <w:numPr>
          <w:ilvl w:val="0"/>
          <w:numId w:val="4"/>
        </w:numPr>
      </w:pPr>
      <w:r w:rsidRPr="00CB1A4E">
        <w:t xml:space="preserve">Describe how the disease is impacting </w:t>
      </w:r>
      <w:r w:rsidR="0093524F">
        <w:t>your client’s</w:t>
      </w:r>
      <w:r w:rsidRPr="00CB1A4E">
        <w:t xml:space="preserve"> body.</w:t>
      </w:r>
      <w:r w:rsidR="00475956">
        <w:t xml:space="preserve">  </w:t>
      </w:r>
      <w:r w:rsidR="00475956" w:rsidRPr="00475956">
        <w:t xml:space="preserve">The </w:t>
      </w:r>
      <w:r w:rsidR="00A64E11">
        <w:t>patient’s</w:t>
      </w:r>
      <w:r w:rsidR="00475956" w:rsidRPr="00475956">
        <w:t xml:space="preserve"> body is currently in a state of </w:t>
      </w:r>
      <w:r w:rsidR="00A64E11">
        <w:t xml:space="preserve">widespread </w:t>
      </w:r>
      <w:r w:rsidR="00475956" w:rsidRPr="00475956">
        <w:t>systemic stress</w:t>
      </w:r>
      <w:r w:rsidR="0009319A">
        <w:t xml:space="preserve"> and inflammation</w:t>
      </w:r>
      <w:r w:rsidR="00A64E11">
        <w:t xml:space="preserve">. </w:t>
      </w:r>
      <w:r w:rsidR="00475956" w:rsidRPr="00475956">
        <w:t xml:space="preserve"> The infection </w:t>
      </w:r>
      <w:r w:rsidR="0009319A">
        <w:t>has spread for an unknown period, likely days or weeks before the patient presented to the ED.  Upon admission, the infection had become severe</w:t>
      </w:r>
      <w:r w:rsidR="00475956" w:rsidRPr="00475956">
        <w:t xml:space="preserve"> causing fever, inflammation, and possibly </w:t>
      </w:r>
      <w:r w:rsidR="00A64E11">
        <w:t>continu</w:t>
      </w:r>
      <w:r w:rsidR="0009319A">
        <w:t>es</w:t>
      </w:r>
      <w:r w:rsidR="00A64E11">
        <w:t xml:space="preserve"> to </w:t>
      </w:r>
      <w:r w:rsidR="00475956" w:rsidRPr="00475956">
        <w:t xml:space="preserve">spread despite surgical intervention due to poor glycemic control. His immune system is compromised </w:t>
      </w:r>
      <w:r w:rsidR="0009319A">
        <w:t>possibl</w:t>
      </w:r>
      <w:r w:rsidR="001921E3">
        <w:t>y</w:t>
      </w:r>
      <w:r w:rsidR="0009319A">
        <w:t xml:space="preserve"> by malnutrition as evidence by patient’s lab </w:t>
      </w:r>
      <w:r w:rsidR="001921E3">
        <w:t>results but</w:t>
      </w:r>
      <w:r w:rsidR="0009319A">
        <w:t xml:space="preserve"> </w:t>
      </w:r>
      <w:proofErr w:type="gramStart"/>
      <w:r w:rsidR="001921E3">
        <w:t>definitely compromised</w:t>
      </w:r>
      <w:proofErr w:type="gramEnd"/>
      <w:r w:rsidR="0009319A">
        <w:t xml:space="preserve"> </w:t>
      </w:r>
      <w:r w:rsidR="00475956" w:rsidRPr="00475956">
        <w:t>by his diabetes</w:t>
      </w:r>
      <w:r w:rsidR="0009319A">
        <w:t xml:space="preserve">.  Patient’s </w:t>
      </w:r>
      <w:r w:rsidR="00475956" w:rsidRPr="00475956">
        <w:t>A1C of 11</w:t>
      </w:r>
      <w:r w:rsidR="0009319A">
        <w:t xml:space="preserve"> </w:t>
      </w:r>
      <w:r w:rsidR="00475956" w:rsidRPr="00475956">
        <w:t>reflects chronic hyperglycemia and</w:t>
      </w:r>
      <w:r w:rsidR="0009319A">
        <w:t xml:space="preserve"> suggests</w:t>
      </w:r>
      <w:r w:rsidR="001921E3">
        <w:t xml:space="preserve"> a prognosis of</w:t>
      </w:r>
      <w:r w:rsidR="00475956" w:rsidRPr="00475956">
        <w:t xml:space="preserve"> </w:t>
      </w:r>
      <w:r w:rsidR="001921E3">
        <w:t>delayed</w:t>
      </w:r>
      <w:r w:rsidR="00475956" w:rsidRPr="00475956">
        <w:t xml:space="preserve"> wound healing. The persistent infection and fever also increase metabolic demands, placing further </w:t>
      </w:r>
      <w:r w:rsidR="001921E3">
        <w:t>demands</w:t>
      </w:r>
      <w:r w:rsidR="00475956" w:rsidRPr="00475956">
        <w:t xml:space="preserve"> on his body. If the infection progresses unchecked, it could lead to sepsis—a life-threatening condition involving multiple organ systems.</w:t>
      </w:r>
    </w:p>
    <w:p w14:paraId="3EF73268" w14:textId="3C0D5EFE" w:rsidR="00CB1A4E" w:rsidRPr="00CB1A4E" w:rsidRDefault="00CB1A4E" w:rsidP="00CB1A4E">
      <w:pPr>
        <w:pStyle w:val="ListParagraph"/>
        <w:numPr>
          <w:ilvl w:val="0"/>
          <w:numId w:val="4"/>
        </w:numPr>
      </w:pPr>
      <w:r w:rsidRPr="00CB1A4E">
        <w:lastRenderedPageBreak/>
        <w:t>Describe this complex pathophysiology now to your client at a 5th grade level, in your own words, and using no medical terminology.</w:t>
      </w:r>
      <w:r w:rsidR="00475956">
        <w:t xml:space="preserve">  </w:t>
      </w:r>
      <w:r w:rsidR="00475956" w:rsidRPr="00475956">
        <w:t xml:space="preserve">Your body has a </w:t>
      </w:r>
      <w:r w:rsidR="001921E3">
        <w:t>very serious infection</w:t>
      </w:r>
      <w:r w:rsidR="00475956" w:rsidRPr="00475956">
        <w:t>. Usually, your body fights off these kinds of infections, bu</w:t>
      </w:r>
      <w:r w:rsidR="001921E3">
        <w:t xml:space="preserve">t because of a few different factors this infection has continued to spread.  Because of your diabetes, your body does have a harder time healing. </w:t>
      </w:r>
      <w:proofErr w:type="gramStart"/>
      <w:r w:rsidR="001921E3">
        <w:t>Also</w:t>
      </w:r>
      <w:proofErr w:type="gramEnd"/>
      <w:r w:rsidR="001921E3">
        <w:t xml:space="preserve"> </w:t>
      </w:r>
      <w:r w:rsidR="00475956" w:rsidRPr="00475956">
        <w:t xml:space="preserve">your blood sugar has been </w:t>
      </w:r>
      <w:r w:rsidR="001921E3" w:rsidRPr="00475956">
        <w:t>high</w:t>
      </w:r>
      <w:r w:rsidR="001921E3">
        <w:t xml:space="preserve"> for some time</w:t>
      </w:r>
      <w:r w:rsidR="00475956" w:rsidRPr="00475956">
        <w:t xml:space="preserve">, </w:t>
      </w:r>
      <w:r w:rsidR="001921E3">
        <w:t>which has done some damage that’s making the infection fighting process even harder.  Too much s</w:t>
      </w:r>
      <w:r w:rsidR="00475956" w:rsidRPr="00475956">
        <w:t xml:space="preserve">ugar in your blood can </w:t>
      </w:r>
      <w:r w:rsidR="001921E3">
        <w:t>make it easier for</w:t>
      </w:r>
      <w:r w:rsidR="00475956" w:rsidRPr="00475956">
        <w:t xml:space="preserve"> germs</w:t>
      </w:r>
      <w:r w:rsidR="001921E3">
        <w:t xml:space="preserve"> to keep growing</w:t>
      </w:r>
      <w:r w:rsidR="00475956" w:rsidRPr="00475956">
        <w:t xml:space="preserve">, and it slows down your body's </w:t>
      </w:r>
      <w:r w:rsidR="001921E3">
        <w:t xml:space="preserve">ability to fight back.  We are giving you extra fluids and medication that will help your body fight the infection.  </w:t>
      </w:r>
      <w:r w:rsidR="00DD2E85">
        <w:t xml:space="preserve">You should start to feel better, and they start to work.  Your fever should start to go down and you might start feeling stronger.  That will be an indication that the infection is getting smaller and the germs are dying off.  One of the other things we will doing is working with your food and using medications to reduce the sugar in your blood which will help your body fight back naturally.  While you are healing, </w:t>
      </w:r>
      <w:proofErr w:type="spellStart"/>
      <w:proofErr w:type="gramStart"/>
      <w:r w:rsidR="00DD2E85">
        <w:t>its</w:t>
      </w:r>
      <w:proofErr w:type="spellEnd"/>
      <w:proofErr w:type="gramEnd"/>
      <w:r w:rsidR="00DD2E85">
        <w:t xml:space="preserve"> important that you rest, drink lots of fluids, but avoid any soda, or juices or sugary foods unless your nurse or doctor tells you that its okay.  </w:t>
      </w:r>
    </w:p>
    <w:p w14:paraId="2C5593A1" w14:textId="545D74B4" w:rsidR="00CB1A4E" w:rsidRPr="00CB1A4E" w:rsidRDefault="00CB1A4E" w:rsidP="006A14EC">
      <w:pPr>
        <w:pStyle w:val="ListParagraph"/>
        <w:numPr>
          <w:ilvl w:val="0"/>
          <w:numId w:val="4"/>
        </w:numPr>
      </w:pPr>
      <w:r w:rsidRPr="00CB1A4E">
        <w:t>List signs and symptoms of the disease and/or the condition.</w:t>
      </w:r>
      <w:r w:rsidR="00475956">
        <w:t xml:space="preserve">   Fever, </w:t>
      </w:r>
      <w:r w:rsidR="00475956" w:rsidRPr="00475956">
        <w:t xml:space="preserve">Localized redness, warmth, swelling, and pain at the site of the </w:t>
      </w:r>
      <w:r w:rsidR="00C976E4" w:rsidRPr="00475956">
        <w:t>abscess</w:t>
      </w:r>
      <w:r w:rsidR="00C976E4">
        <w:t>, Pus</w:t>
      </w:r>
      <w:r w:rsidR="00475956" w:rsidRPr="00475956">
        <w:t xml:space="preserve"> or drainage from the </w:t>
      </w:r>
      <w:r w:rsidR="00DD2E85" w:rsidRPr="00475956">
        <w:t>wound</w:t>
      </w:r>
      <w:r w:rsidR="00DD2E85">
        <w:t>, Elevated</w:t>
      </w:r>
      <w:r w:rsidR="00475956" w:rsidRPr="00475956">
        <w:t xml:space="preserve"> white blood cell (WBC) coun</w:t>
      </w:r>
      <w:r w:rsidR="00475956">
        <w:t xml:space="preserve">t, </w:t>
      </w:r>
      <w:r w:rsidR="00DD2E85">
        <w:t xml:space="preserve">elevated C-reactive protein, as well as immature granulocytes.  Cardiac assessment reveals mostly stable indication except sustained </w:t>
      </w:r>
      <w:r w:rsidR="00475956" w:rsidRPr="00475956">
        <w:t xml:space="preserve">Tachycardia </w:t>
      </w:r>
      <w:r w:rsidR="00DD2E85">
        <w:t xml:space="preserve">which has been tracked as above the reference range for 4 days. </w:t>
      </w:r>
      <w:r w:rsidR="00BD57A6">
        <w:t xml:space="preserve"> Malaise</w:t>
      </w:r>
      <w:r w:rsidR="00475956" w:rsidRPr="00475956">
        <w:t xml:space="preserve"> or </w:t>
      </w:r>
      <w:r w:rsidR="001921E3" w:rsidRPr="00475956">
        <w:t>fatigue</w:t>
      </w:r>
      <w:r w:rsidR="001921E3">
        <w:t>, elevated</w:t>
      </w:r>
      <w:r w:rsidR="00475956" w:rsidRPr="00475956">
        <w:t xml:space="preserve"> blood glucose </w:t>
      </w:r>
      <w:r w:rsidR="00DD2E85" w:rsidRPr="00475956">
        <w:t>level</w:t>
      </w:r>
      <w:r w:rsidR="00DD2E85">
        <w:t xml:space="preserve"> noted.   Patient</w:t>
      </w:r>
      <w:r w:rsidR="006A14EC">
        <w:t xml:space="preserve"> is </w:t>
      </w:r>
      <w:r w:rsidR="00C976E4">
        <w:t>fatigued and</w:t>
      </w:r>
      <w:r w:rsidR="006A14EC">
        <w:t xml:space="preserve"> </w:t>
      </w:r>
      <w:r w:rsidR="00DD2E85">
        <w:t xml:space="preserve">experiencing generalized weakness.  No significant changes in mental status observed other than fatigue.  </w:t>
      </w:r>
    </w:p>
    <w:p w14:paraId="6A0D44C7" w14:textId="0C0EE5BB" w:rsidR="00CB1A4E" w:rsidRPr="00CB1A4E" w:rsidRDefault="00CB1A4E" w:rsidP="00CB1A4E">
      <w:pPr>
        <w:pStyle w:val="ListParagraph"/>
        <w:numPr>
          <w:ilvl w:val="0"/>
          <w:numId w:val="4"/>
        </w:numPr>
      </w:pPr>
      <w:r w:rsidRPr="00CB1A4E">
        <w:t xml:space="preserve">Identify any risk factors (from the client’s </w:t>
      </w:r>
      <w:r w:rsidRPr="0093524F">
        <w:rPr>
          <w:b/>
          <w:bCs/>
        </w:rPr>
        <w:t>past medical history</w:t>
      </w:r>
      <w:r w:rsidRPr="00CB1A4E">
        <w:t>).</w:t>
      </w:r>
      <w:r w:rsidR="00475956">
        <w:t xml:space="preserve"> T2DM (BG poorly managed)</w:t>
      </w:r>
      <w:r w:rsidR="006A14EC">
        <w:t xml:space="preserve">, limited medical history, primary medical care has been </w:t>
      </w:r>
      <w:r w:rsidR="00DD2E85">
        <w:t xml:space="preserve">mostly </w:t>
      </w:r>
      <w:r w:rsidR="006A14EC">
        <w:t xml:space="preserve">emergency </w:t>
      </w:r>
      <w:r w:rsidR="00DD2E85">
        <w:t xml:space="preserve">room </w:t>
      </w:r>
      <w:r w:rsidR="006A14EC">
        <w:t xml:space="preserve">or urgent </w:t>
      </w:r>
      <w:r w:rsidR="00DD2E85">
        <w:t xml:space="preserve">care </w:t>
      </w:r>
      <w:r w:rsidR="006A14EC">
        <w:t>visits</w:t>
      </w:r>
      <w:r w:rsidR="00DD2E85">
        <w:t xml:space="preserve"> related to injury, possibly indicating a lack of access to primary care. </w:t>
      </w:r>
    </w:p>
    <w:p w14:paraId="7C00C131" w14:textId="3258C37A" w:rsidR="00B66E29" w:rsidRPr="000931C2" w:rsidRDefault="00CB1A4E" w:rsidP="00FB1541">
      <w:pPr>
        <w:pStyle w:val="ListParagraph"/>
        <w:numPr>
          <w:ilvl w:val="0"/>
          <w:numId w:val="4"/>
        </w:numPr>
        <w:pBdr>
          <w:top w:val="nil"/>
          <w:left w:val="nil"/>
          <w:bottom w:val="nil"/>
          <w:right w:val="nil"/>
          <w:between w:val="nil"/>
        </w:pBdr>
        <w:rPr>
          <w:rFonts w:eastAsia="Times New Roman" w:cstheme="minorHAnsi"/>
        </w:rPr>
      </w:pPr>
      <w:r w:rsidRPr="00CB1A4E">
        <w:t xml:space="preserve">List any </w:t>
      </w:r>
      <w:r w:rsidR="008444BF">
        <w:t>potential</w:t>
      </w:r>
      <w:r w:rsidRPr="00CB1A4E">
        <w:t xml:space="preserve"> complications (remember this is what could kill the patient </w:t>
      </w:r>
      <w:r w:rsidR="0093524F">
        <w:t xml:space="preserve">and/or cause loss of limb or organ </w:t>
      </w:r>
      <w:r w:rsidRPr="00CB1A4E">
        <w:t>if it goes unrecognized).</w:t>
      </w:r>
      <w:r w:rsidR="006A14EC">
        <w:t xml:space="preserve"> </w:t>
      </w:r>
      <w:r w:rsidR="000931C2" w:rsidRPr="000931C2">
        <w:t>Patients with uncontrolled T2DM face a pronounced risk of sepsis largely due to impaired immune functioning and persistent hyperglycemia. Chronic elevated glucose level</w:t>
      </w:r>
      <w:r w:rsidR="000931C2">
        <w:t xml:space="preserve">s, such as this patient’s </w:t>
      </w:r>
      <w:r w:rsidR="000931C2" w:rsidRPr="000931C2">
        <w:t xml:space="preserve">A1C around 11%—interfere with neutrophil chemotaxis, phagocytosis, </w:t>
      </w:r>
      <w:proofErr w:type="gramStart"/>
      <w:r w:rsidR="000931C2" w:rsidRPr="000931C2">
        <w:t>and,</w:t>
      </w:r>
      <w:proofErr w:type="gramEnd"/>
      <w:r w:rsidR="000931C2" w:rsidRPr="000931C2">
        <w:t xml:space="preserve"> significantly diminishing the body's ability to contain and eliminate pathogens (Diabetic and Sepsis Review Team, 2021). In addition, diabetes creates a chronic inflammatory state that further disrupts vascular and immune defenses, making </w:t>
      </w:r>
      <w:r w:rsidR="000931C2">
        <w:t xml:space="preserve">all </w:t>
      </w:r>
      <w:r w:rsidR="000931C2" w:rsidRPr="000931C2">
        <w:t xml:space="preserve">wounds especially vulnerable to bacterial colonization. </w:t>
      </w:r>
      <w:r w:rsidR="000931C2">
        <w:t xml:space="preserve">This patient is also at increased risk for organ </w:t>
      </w:r>
      <w:proofErr w:type="gramStart"/>
      <w:r w:rsidR="00DD2E85">
        <w:t>dysfunction</w:t>
      </w:r>
      <w:r w:rsidR="000931C2">
        <w:t>,</w:t>
      </w:r>
      <w:proofErr w:type="gramEnd"/>
      <w:r w:rsidR="000931C2">
        <w:t xml:space="preserve"> renal </w:t>
      </w:r>
      <w:r w:rsidR="00C976E4">
        <w:t>dysfunction</w:t>
      </w:r>
      <w:r w:rsidR="000931C2">
        <w:t xml:space="preserve"> would be an urgent concern.  </w:t>
      </w:r>
      <w:r w:rsidR="000931C2" w:rsidRPr="000931C2">
        <w:t>Studies confirm that hyperglycemia during sepsis correlates with increased acute kidney injury and higher in-hospital mortality Thus, an infection that has persisted for day</w:t>
      </w:r>
      <w:r w:rsidR="000931C2">
        <w:t xml:space="preserve">s, </w:t>
      </w:r>
      <w:r w:rsidR="000931C2" w:rsidRPr="000931C2">
        <w:t>or possibly weeks</w:t>
      </w:r>
      <w:r w:rsidR="000931C2">
        <w:t xml:space="preserve">, </w:t>
      </w:r>
      <w:r w:rsidR="000931C2" w:rsidRPr="000931C2">
        <w:t xml:space="preserve">before hospital admission doesn’t just worsen local symptoms; it increases the likelihood of systemic spread and organ </w:t>
      </w:r>
      <w:r w:rsidR="00C976E4" w:rsidRPr="000931C2">
        <w:t>dysfunctio</w:t>
      </w:r>
      <w:r w:rsidR="00C976E4">
        <w:t xml:space="preserve">n. </w:t>
      </w:r>
      <w:r w:rsidR="000931C2" w:rsidRPr="000931C2">
        <w:t xml:space="preserve">In this case, the patient’s history </w:t>
      </w:r>
      <w:proofErr w:type="gramStart"/>
      <w:r w:rsidR="000931C2" w:rsidRPr="000931C2">
        <w:t xml:space="preserve">of </w:t>
      </w:r>
      <w:r w:rsidR="009010DB">
        <w:t xml:space="preserve"> </w:t>
      </w:r>
      <w:r w:rsidR="000931C2" w:rsidRPr="000931C2">
        <w:t>fever</w:t>
      </w:r>
      <w:proofErr w:type="gramEnd"/>
      <w:r w:rsidR="000931C2" w:rsidRPr="000931C2">
        <w:t xml:space="preserve"> and inflammation</w:t>
      </w:r>
      <w:r w:rsidR="000931C2">
        <w:t xml:space="preserve"> </w:t>
      </w:r>
      <w:r w:rsidR="00C976E4">
        <w:t>s</w:t>
      </w:r>
      <w:r w:rsidR="00C976E4" w:rsidRPr="000931C2">
        <w:t>uggests</w:t>
      </w:r>
      <w:r w:rsidR="000931C2" w:rsidRPr="000931C2">
        <w:t xml:space="preserve"> </w:t>
      </w:r>
      <w:r w:rsidR="009010DB">
        <w:t xml:space="preserve">his </w:t>
      </w:r>
      <w:r w:rsidR="00390B84">
        <w:t>body</w:t>
      </w:r>
      <w:r w:rsidR="009010DB">
        <w:t xml:space="preserve"> is struggling to manage this infection</w:t>
      </w:r>
      <w:r w:rsidR="00390B84">
        <w:t>.  Patient</w:t>
      </w:r>
      <w:r w:rsidR="009010DB">
        <w:t xml:space="preserve"> is at risk for </w:t>
      </w:r>
      <w:r w:rsidR="00390B84">
        <w:t>severe and worsening disease. (</w:t>
      </w:r>
      <w:r w:rsidR="00DD2E85" w:rsidRPr="00DD2E85">
        <w:t>Harding, 2023, Constantini, 2021)</w:t>
      </w:r>
    </w:p>
    <w:p w14:paraId="1B2C95C4" w14:textId="048EF95B" w:rsidR="0093524F" w:rsidRPr="00B66E29" w:rsidRDefault="0093524F" w:rsidP="00A47B25">
      <w:pPr>
        <w:pStyle w:val="ListParagraph"/>
        <w:numPr>
          <w:ilvl w:val="0"/>
          <w:numId w:val="4"/>
        </w:numPr>
        <w:pBdr>
          <w:top w:val="nil"/>
          <w:left w:val="nil"/>
          <w:bottom w:val="nil"/>
          <w:right w:val="nil"/>
          <w:between w:val="nil"/>
        </w:pBdr>
        <w:rPr>
          <w:rFonts w:eastAsia="Times New Roman" w:cstheme="minorHAnsi"/>
        </w:rPr>
      </w:pPr>
      <w:r w:rsidRPr="00B66E29">
        <w:rPr>
          <w:rFonts w:eastAsia="Times New Roman" w:cstheme="minorHAnsi"/>
          <w:color w:val="000000"/>
        </w:rPr>
        <w:t>List all pertinent labs, diagnostics, or procedures ordered for the client. Fill in the table below with the lab, diagnostic test and/or procedure, your client’s value, or result, whether it is normal or abnormal, what the healthcare team is trying to learn by ordering this lab/diagnostic/procedure, and the clinical significance of that value and/or result, as it relates to your client. (You can add lines to the table as necessary)</w:t>
      </w:r>
    </w:p>
    <w:tbl>
      <w:tblPr>
        <w:tblStyle w:val="TableGrid"/>
        <w:tblW w:w="10435" w:type="dxa"/>
        <w:tblLook w:val="04A0" w:firstRow="1" w:lastRow="0" w:firstColumn="1" w:lastColumn="0" w:noHBand="0" w:noVBand="1"/>
      </w:tblPr>
      <w:tblGrid>
        <w:gridCol w:w="1435"/>
        <w:gridCol w:w="1080"/>
        <w:gridCol w:w="1170"/>
        <w:gridCol w:w="3690"/>
        <w:gridCol w:w="3060"/>
      </w:tblGrid>
      <w:tr w:rsidR="0093524F" w:rsidRPr="0093524F" w14:paraId="273CFA39" w14:textId="77777777" w:rsidTr="00FA6160">
        <w:tc>
          <w:tcPr>
            <w:tcW w:w="1435" w:type="dxa"/>
            <w:vAlign w:val="bottom"/>
          </w:tcPr>
          <w:p w14:paraId="187A3DDF" w14:textId="77777777" w:rsidR="0093524F" w:rsidRPr="0093524F" w:rsidRDefault="0093524F" w:rsidP="00FA6160">
            <w:pPr>
              <w:rPr>
                <w:rFonts w:eastAsia="Times New Roman" w:cstheme="minorHAnsi"/>
              </w:rPr>
            </w:pPr>
            <w:r w:rsidRPr="0093524F">
              <w:rPr>
                <w:rFonts w:eastAsia="Times New Roman" w:cstheme="minorHAnsi"/>
              </w:rPr>
              <w:lastRenderedPageBreak/>
              <w:t>Lab/</w:t>
            </w:r>
          </w:p>
          <w:p w14:paraId="24A45A4C" w14:textId="77777777" w:rsidR="0093524F" w:rsidRPr="0093524F" w:rsidRDefault="0093524F" w:rsidP="00FA6160">
            <w:pPr>
              <w:rPr>
                <w:rFonts w:eastAsia="Times New Roman" w:cstheme="minorHAnsi"/>
              </w:rPr>
            </w:pPr>
            <w:r w:rsidRPr="0093524F">
              <w:rPr>
                <w:rFonts w:eastAsia="Times New Roman" w:cstheme="minorHAnsi"/>
              </w:rPr>
              <w:t>Diagnostic test and/or procedure</w:t>
            </w:r>
          </w:p>
        </w:tc>
        <w:tc>
          <w:tcPr>
            <w:tcW w:w="1080" w:type="dxa"/>
            <w:vAlign w:val="bottom"/>
          </w:tcPr>
          <w:p w14:paraId="5028D79F" w14:textId="77777777" w:rsidR="0093524F" w:rsidRPr="0093524F" w:rsidRDefault="0093524F" w:rsidP="00FA6160">
            <w:pPr>
              <w:rPr>
                <w:rFonts w:eastAsia="Times New Roman" w:cstheme="minorHAnsi"/>
              </w:rPr>
            </w:pPr>
            <w:r w:rsidRPr="0093524F">
              <w:rPr>
                <w:rFonts w:eastAsia="Times New Roman" w:cstheme="minorHAnsi"/>
              </w:rPr>
              <w:t>Your client’s value</w:t>
            </w:r>
          </w:p>
        </w:tc>
        <w:tc>
          <w:tcPr>
            <w:tcW w:w="1170" w:type="dxa"/>
            <w:vAlign w:val="bottom"/>
          </w:tcPr>
          <w:p w14:paraId="49E4C993" w14:textId="77777777" w:rsidR="0093524F" w:rsidRPr="0093524F" w:rsidRDefault="0093524F" w:rsidP="00FA6160">
            <w:pPr>
              <w:rPr>
                <w:rFonts w:eastAsia="Times New Roman" w:cstheme="minorHAnsi"/>
              </w:rPr>
            </w:pPr>
            <w:r w:rsidRPr="0093524F">
              <w:rPr>
                <w:rFonts w:eastAsia="Times New Roman" w:cstheme="minorHAnsi"/>
              </w:rPr>
              <w:t>Normal/</w:t>
            </w:r>
          </w:p>
          <w:p w14:paraId="6915EBEF" w14:textId="77777777" w:rsidR="0093524F" w:rsidRPr="0093524F" w:rsidRDefault="0093524F" w:rsidP="00FA6160">
            <w:pPr>
              <w:rPr>
                <w:rFonts w:eastAsia="Times New Roman" w:cstheme="minorHAnsi"/>
              </w:rPr>
            </w:pPr>
            <w:r w:rsidRPr="0093524F">
              <w:rPr>
                <w:rFonts w:eastAsia="Times New Roman" w:cstheme="minorHAnsi"/>
              </w:rPr>
              <w:t>Abnormal</w:t>
            </w:r>
          </w:p>
        </w:tc>
        <w:tc>
          <w:tcPr>
            <w:tcW w:w="3690" w:type="dxa"/>
          </w:tcPr>
          <w:p w14:paraId="0909205F" w14:textId="2BE055F4" w:rsidR="0093524F" w:rsidRPr="0093524F" w:rsidRDefault="0093524F" w:rsidP="00FA6160">
            <w:pPr>
              <w:rPr>
                <w:rFonts w:eastAsia="Times New Roman" w:cstheme="minorHAnsi"/>
              </w:rPr>
            </w:pPr>
            <w:r w:rsidRPr="0093524F">
              <w:rPr>
                <w:rFonts w:eastAsia="Times New Roman" w:cstheme="minorHAnsi"/>
              </w:rPr>
              <w:t xml:space="preserve">What is the healthcare </w:t>
            </w:r>
            <w:r>
              <w:rPr>
                <w:rFonts w:eastAsia="Times New Roman" w:cstheme="minorHAnsi"/>
              </w:rPr>
              <w:t xml:space="preserve">team </w:t>
            </w:r>
            <w:r w:rsidRPr="0093524F">
              <w:rPr>
                <w:rFonts w:eastAsia="Times New Roman" w:cstheme="minorHAnsi"/>
              </w:rPr>
              <w:t>trying to learn by ordering this lab/diagnostic or procedure</w:t>
            </w:r>
          </w:p>
        </w:tc>
        <w:tc>
          <w:tcPr>
            <w:tcW w:w="3060" w:type="dxa"/>
            <w:vAlign w:val="bottom"/>
          </w:tcPr>
          <w:p w14:paraId="3E2B893F" w14:textId="77777777" w:rsidR="0093524F" w:rsidRPr="0093524F" w:rsidRDefault="0093524F" w:rsidP="00FA6160">
            <w:pPr>
              <w:rPr>
                <w:rFonts w:eastAsia="Times New Roman" w:cstheme="minorHAnsi"/>
              </w:rPr>
            </w:pPr>
            <w:r w:rsidRPr="0093524F">
              <w:rPr>
                <w:rFonts w:eastAsia="Times New Roman" w:cstheme="minorHAnsi"/>
              </w:rPr>
              <w:t>Clinical Significance ***As it relates to your client</w:t>
            </w:r>
          </w:p>
        </w:tc>
      </w:tr>
      <w:tr w:rsidR="0093524F" w:rsidRPr="0093524F" w14:paraId="7335AEF8" w14:textId="77777777" w:rsidTr="00FA6160">
        <w:tc>
          <w:tcPr>
            <w:tcW w:w="1435" w:type="dxa"/>
          </w:tcPr>
          <w:p w14:paraId="6958295B" w14:textId="0A247521" w:rsidR="0093524F" w:rsidRPr="0093524F" w:rsidRDefault="0093524F" w:rsidP="00FA6160">
            <w:pPr>
              <w:rPr>
                <w:rFonts w:eastAsia="Times New Roman" w:cstheme="minorHAnsi"/>
                <w:b/>
                <w:bCs/>
              </w:rPr>
            </w:pPr>
            <w:r w:rsidRPr="0093524F">
              <w:rPr>
                <w:rFonts w:eastAsia="Times New Roman" w:cstheme="minorHAnsi"/>
                <w:b/>
                <w:bCs/>
              </w:rPr>
              <w:t>Example: Troponin</w:t>
            </w:r>
          </w:p>
        </w:tc>
        <w:tc>
          <w:tcPr>
            <w:tcW w:w="1080" w:type="dxa"/>
          </w:tcPr>
          <w:p w14:paraId="7637814A" w14:textId="33E2EBDA" w:rsidR="0093524F" w:rsidRPr="0093524F" w:rsidRDefault="0093524F" w:rsidP="00FA6160">
            <w:pPr>
              <w:rPr>
                <w:rFonts w:eastAsia="Times New Roman" w:cstheme="minorHAnsi"/>
                <w:b/>
                <w:bCs/>
              </w:rPr>
            </w:pPr>
            <w:r w:rsidRPr="0093524F">
              <w:rPr>
                <w:rFonts w:eastAsia="Times New Roman" w:cstheme="minorHAnsi"/>
                <w:b/>
                <w:bCs/>
              </w:rPr>
              <w:t>0.56</w:t>
            </w:r>
          </w:p>
        </w:tc>
        <w:tc>
          <w:tcPr>
            <w:tcW w:w="1170" w:type="dxa"/>
          </w:tcPr>
          <w:p w14:paraId="4A67F00A" w14:textId="2FC1470E" w:rsidR="0093524F" w:rsidRPr="0093524F" w:rsidRDefault="0093524F" w:rsidP="00FA6160">
            <w:pPr>
              <w:rPr>
                <w:rFonts w:eastAsia="Times New Roman" w:cstheme="minorHAnsi"/>
                <w:b/>
                <w:bCs/>
              </w:rPr>
            </w:pPr>
            <w:r w:rsidRPr="0093524F">
              <w:rPr>
                <w:rFonts w:eastAsia="Times New Roman" w:cstheme="minorHAnsi"/>
                <w:b/>
                <w:bCs/>
              </w:rPr>
              <w:t>Abnormal</w:t>
            </w:r>
          </w:p>
        </w:tc>
        <w:tc>
          <w:tcPr>
            <w:tcW w:w="3690" w:type="dxa"/>
          </w:tcPr>
          <w:p w14:paraId="107088BA" w14:textId="3283A0EB" w:rsidR="0093524F" w:rsidRPr="0093524F" w:rsidRDefault="0093524F" w:rsidP="00FA6160">
            <w:pPr>
              <w:rPr>
                <w:rFonts w:eastAsia="Times New Roman" w:cstheme="minorHAnsi"/>
                <w:b/>
                <w:bCs/>
              </w:rPr>
            </w:pPr>
            <w:r w:rsidRPr="0093524F">
              <w:rPr>
                <w:rFonts w:eastAsia="Times New Roman" w:cstheme="minorHAnsi"/>
                <w:b/>
                <w:bCs/>
              </w:rPr>
              <w:t>Trying to see if the client is having an MI</w:t>
            </w:r>
          </w:p>
        </w:tc>
        <w:tc>
          <w:tcPr>
            <w:tcW w:w="3060" w:type="dxa"/>
          </w:tcPr>
          <w:p w14:paraId="4839F9EC" w14:textId="1EF0CBBE" w:rsidR="0093524F" w:rsidRPr="0093524F" w:rsidRDefault="0093524F" w:rsidP="00FA6160">
            <w:pPr>
              <w:rPr>
                <w:rFonts w:eastAsia="Times New Roman" w:cstheme="minorHAnsi"/>
                <w:b/>
                <w:bCs/>
              </w:rPr>
            </w:pPr>
            <w:r w:rsidRPr="0093524F">
              <w:rPr>
                <w:rFonts w:eastAsia="Times New Roman" w:cstheme="minorHAnsi"/>
                <w:b/>
                <w:bCs/>
              </w:rPr>
              <w:t xml:space="preserve">This lab is positive for MI and should be correlated with an EKG to determine whether or not this is </w:t>
            </w:r>
            <w:r w:rsidR="00A314F2" w:rsidRPr="0093524F">
              <w:rPr>
                <w:rFonts w:eastAsia="Times New Roman" w:cstheme="minorHAnsi"/>
                <w:b/>
                <w:bCs/>
              </w:rPr>
              <w:t>a</w:t>
            </w:r>
            <w:r w:rsidRPr="0093524F">
              <w:rPr>
                <w:rFonts w:eastAsia="Times New Roman" w:cstheme="minorHAnsi"/>
                <w:b/>
                <w:bCs/>
              </w:rPr>
              <w:t xml:space="preserve"> STEMI or NSTEMI</w:t>
            </w:r>
          </w:p>
        </w:tc>
      </w:tr>
      <w:tr w:rsidR="0093524F" w:rsidRPr="0093524F" w14:paraId="47CD567C" w14:textId="77777777" w:rsidTr="00FA6160">
        <w:tc>
          <w:tcPr>
            <w:tcW w:w="1435" w:type="dxa"/>
          </w:tcPr>
          <w:p w14:paraId="6D8650EF" w14:textId="7B8AC4F6" w:rsidR="0093524F" w:rsidRPr="0093524F" w:rsidRDefault="002C4949" w:rsidP="00FA6160">
            <w:pPr>
              <w:rPr>
                <w:rFonts w:eastAsia="Times New Roman" w:cstheme="minorHAnsi"/>
              </w:rPr>
            </w:pPr>
            <w:r>
              <w:rPr>
                <w:rFonts w:eastAsia="Times New Roman" w:cstheme="minorHAnsi"/>
              </w:rPr>
              <w:t>Albumin</w:t>
            </w:r>
          </w:p>
        </w:tc>
        <w:tc>
          <w:tcPr>
            <w:tcW w:w="1080" w:type="dxa"/>
          </w:tcPr>
          <w:p w14:paraId="54DBCFF1" w14:textId="7B685486" w:rsidR="0093524F" w:rsidRPr="0093524F" w:rsidRDefault="002C4949" w:rsidP="00FA6160">
            <w:pPr>
              <w:rPr>
                <w:rFonts w:eastAsia="Times New Roman" w:cstheme="minorHAnsi"/>
              </w:rPr>
            </w:pPr>
            <w:r>
              <w:rPr>
                <w:rFonts w:eastAsia="Times New Roman" w:cstheme="minorHAnsi"/>
              </w:rPr>
              <w:t>2.8</w:t>
            </w:r>
          </w:p>
        </w:tc>
        <w:tc>
          <w:tcPr>
            <w:tcW w:w="1170" w:type="dxa"/>
          </w:tcPr>
          <w:p w14:paraId="0FC538C8" w14:textId="1E2D3967" w:rsidR="0093524F" w:rsidRPr="0093524F" w:rsidRDefault="00776B8D" w:rsidP="00FA6160">
            <w:pPr>
              <w:rPr>
                <w:rFonts w:eastAsia="Times New Roman" w:cstheme="minorHAnsi"/>
              </w:rPr>
            </w:pPr>
            <w:r>
              <w:rPr>
                <w:rFonts w:eastAsia="Times New Roman" w:cstheme="minorHAnsi"/>
              </w:rPr>
              <w:t>Low</w:t>
            </w:r>
          </w:p>
        </w:tc>
        <w:tc>
          <w:tcPr>
            <w:tcW w:w="3690" w:type="dxa"/>
          </w:tcPr>
          <w:p w14:paraId="1C1FF72C" w14:textId="659F500C" w:rsidR="0093524F" w:rsidRPr="0093524F" w:rsidRDefault="00A86834" w:rsidP="00FA6160">
            <w:pPr>
              <w:rPr>
                <w:rFonts w:eastAsia="Times New Roman" w:cstheme="minorHAnsi"/>
              </w:rPr>
            </w:pPr>
            <w:r>
              <w:rPr>
                <w:rFonts w:eastAsia="Times New Roman" w:cstheme="minorHAnsi"/>
              </w:rPr>
              <w:t xml:space="preserve">Part of routine testing. </w:t>
            </w:r>
            <w:r w:rsidR="00776B8D">
              <w:rPr>
                <w:rFonts w:eastAsia="Times New Roman" w:cstheme="minorHAnsi"/>
              </w:rPr>
              <w:t>Nutritional status, Kidney function or inflammation indicator</w:t>
            </w:r>
            <w:r>
              <w:rPr>
                <w:rFonts w:eastAsia="Times New Roman" w:cstheme="minorHAnsi"/>
              </w:rPr>
              <w:t>.  (Harding, 2023)</w:t>
            </w:r>
          </w:p>
        </w:tc>
        <w:tc>
          <w:tcPr>
            <w:tcW w:w="3060" w:type="dxa"/>
          </w:tcPr>
          <w:p w14:paraId="115A1466" w14:textId="3497979F" w:rsidR="0093524F" w:rsidRPr="0093524F" w:rsidRDefault="00776B8D" w:rsidP="00FA6160">
            <w:pPr>
              <w:rPr>
                <w:rFonts w:eastAsia="Times New Roman" w:cstheme="minorHAnsi"/>
              </w:rPr>
            </w:pPr>
            <w:r>
              <w:rPr>
                <w:rFonts w:eastAsia="Times New Roman" w:cstheme="minorHAnsi"/>
              </w:rPr>
              <w:t>Low albumin impairs wound healing, check other Kidney function values</w:t>
            </w:r>
          </w:p>
        </w:tc>
      </w:tr>
      <w:tr w:rsidR="0093524F" w:rsidRPr="0093524F" w14:paraId="38B4C2DC" w14:textId="77777777" w:rsidTr="00FA6160">
        <w:tc>
          <w:tcPr>
            <w:tcW w:w="1435" w:type="dxa"/>
          </w:tcPr>
          <w:p w14:paraId="2B7BAD30" w14:textId="6256DF8F" w:rsidR="0093524F" w:rsidRPr="0093524F" w:rsidRDefault="002C4949" w:rsidP="00FA6160">
            <w:pPr>
              <w:rPr>
                <w:rFonts w:eastAsia="Times New Roman" w:cstheme="minorHAnsi"/>
              </w:rPr>
            </w:pPr>
            <w:r>
              <w:rPr>
                <w:rFonts w:eastAsia="Times New Roman" w:cstheme="minorHAnsi"/>
              </w:rPr>
              <w:t xml:space="preserve">Total protein </w:t>
            </w:r>
          </w:p>
        </w:tc>
        <w:tc>
          <w:tcPr>
            <w:tcW w:w="1080" w:type="dxa"/>
          </w:tcPr>
          <w:p w14:paraId="42AFD19F" w14:textId="06B7D39A" w:rsidR="0093524F" w:rsidRPr="0093524F" w:rsidRDefault="002C4949" w:rsidP="00FA6160">
            <w:pPr>
              <w:rPr>
                <w:rFonts w:eastAsia="Times New Roman" w:cstheme="minorHAnsi"/>
              </w:rPr>
            </w:pPr>
            <w:r>
              <w:rPr>
                <w:rFonts w:eastAsia="Times New Roman" w:cstheme="minorHAnsi"/>
              </w:rPr>
              <w:t>5.6</w:t>
            </w:r>
          </w:p>
        </w:tc>
        <w:tc>
          <w:tcPr>
            <w:tcW w:w="1170" w:type="dxa"/>
          </w:tcPr>
          <w:p w14:paraId="6E0989AA" w14:textId="2AE1B778" w:rsidR="0093524F" w:rsidRPr="0093524F" w:rsidRDefault="00776B8D" w:rsidP="00FA6160">
            <w:pPr>
              <w:rPr>
                <w:rFonts w:eastAsia="Times New Roman" w:cstheme="minorHAnsi"/>
              </w:rPr>
            </w:pPr>
            <w:r>
              <w:rPr>
                <w:rFonts w:eastAsia="Times New Roman" w:cstheme="minorHAnsi"/>
              </w:rPr>
              <w:t>Low</w:t>
            </w:r>
          </w:p>
        </w:tc>
        <w:tc>
          <w:tcPr>
            <w:tcW w:w="3690" w:type="dxa"/>
          </w:tcPr>
          <w:p w14:paraId="7EF334D7" w14:textId="72988CD0" w:rsidR="0093524F" w:rsidRPr="0093524F" w:rsidRDefault="00A86834" w:rsidP="00FA6160">
            <w:pPr>
              <w:rPr>
                <w:rFonts w:eastAsia="Times New Roman" w:cstheme="minorHAnsi"/>
              </w:rPr>
            </w:pPr>
            <w:r>
              <w:rPr>
                <w:rFonts w:eastAsia="Times New Roman" w:cstheme="minorHAnsi"/>
              </w:rPr>
              <w:t xml:space="preserve">Part of Routine testing.  </w:t>
            </w:r>
            <w:r w:rsidR="00776B8D">
              <w:rPr>
                <w:rFonts w:eastAsia="Times New Roman" w:cstheme="minorHAnsi"/>
              </w:rPr>
              <w:t xml:space="preserve">Nutritional </w:t>
            </w:r>
            <w:r w:rsidR="00304D51">
              <w:rPr>
                <w:rFonts w:eastAsia="Times New Roman" w:cstheme="minorHAnsi"/>
              </w:rPr>
              <w:t>status</w:t>
            </w:r>
            <w:r w:rsidR="00776B8D">
              <w:rPr>
                <w:rFonts w:eastAsia="Times New Roman" w:cstheme="minorHAnsi"/>
              </w:rPr>
              <w:t xml:space="preserve"> or inflammation indicator</w:t>
            </w:r>
            <w:r>
              <w:rPr>
                <w:rFonts w:eastAsia="Times New Roman" w:cstheme="minorHAnsi"/>
              </w:rPr>
              <w:t>. (Harding, 2023)</w:t>
            </w:r>
          </w:p>
        </w:tc>
        <w:tc>
          <w:tcPr>
            <w:tcW w:w="3060" w:type="dxa"/>
          </w:tcPr>
          <w:p w14:paraId="533F267F" w14:textId="06A03F5D" w:rsidR="0093524F" w:rsidRPr="0093524F" w:rsidRDefault="00776B8D" w:rsidP="00FA6160">
            <w:pPr>
              <w:rPr>
                <w:rFonts w:eastAsia="Times New Roman" w:cstheme="minorHAnsi"/>
              </w:rPr>
            </w:pPr>
            <w:r>
              <w:rPr>
                <w:rFonts w:eastAsia="Times New Roman" w:cstheme="minorHAnsi"/>
              </w:rPr>
              <w:t xml:space="preserve">Low protein will </w:t>
            </w:r>
            <w:r w:rsidR="00BD57A6">
              <w:rPr>
                <w:rFonts w:eastAsia="Times New Roman" w:cstheme="minorHAnsi"/>
              </w:rPr>
              <w:t>inhibit</w:t>
            </w:r>
            <w:r>
              <w:rPr>
                <w:rFonts w:eastAsia="Times New Roman" w:cstheme="minorHAnsi"/>
              </w:rPr>
              <w:t xml:space="preserve"> wound healing process</w:t>
            </w:r>
          </w:p>
        </w:tc>
      </w:tr>
      <w:tr w:rsidR="0093524F" w:rsidRPr="0093524F" w14:paraId="51C27E95" w14:textId="77777777" w:rsidTr="00FA6160">
        <w:tc>
          <w:tcPr>
            <w:tcW w:w="1435" w:type="dxa"/>
          </w:tcPr>
          <w:p w14:paraId="09A43AE8" w14:textId="3345D9F0" w:rsidR="0093524F" w:rsidRPr="0093524F" w:rsidRDefault="002C4949" w:rsidP="00FA6160">
            <w:pPr>
              <w:rPr>
                <w:rFonts w:eastAsia="Times New Roman" w:cstheme="minorHAnsi"/>
              </w:rPr>
            </w:pPr>
            <w:r>
              <w:rPr>
                <w:rFonts w:eastAsia="Times New Roman" w:cstheme="minorHAnsi"/>
              </w:rPr>
              <w:t>Mg</w:t>
            </w:r>
          </w:p>
        </w:tc>
        <w:tc>
          <w:tcPr>
            <w:tcW w:w="1080" w:type="dxa"/>
          </w:tcPr>
          <w:p w14:paraId="7C74869B" w14:textId="5F255B86" w:rsidR="0093524F" w:rsidRPr="0093524F" w:rsidRDefault="002C4949" w:rsidP="00FA6160">
            <w:pPr>
              <w:rPr>
                <w:rFonts w:eastAsia="Times New Roman" w:cstheme="minorHAnsi"/>
              </w:rPr>
            </w:pPr>
            <w:r>
              <w:rPr>
                <w:rFonts w:eastAsia="Times New Roman" w:cstheme="minorHAnsi"/>
              </w:rPr>
              <w:t>1.5</w:t>
            </w:r>
          </w:p>
        </w:tc>
        <w:tc>
          <w:tcPr>
            <w:tcW w:w="1170" w:type="dxa"/>
          </w:tcPr>
          <w:p w14:paraId="1D5CEE95" w14:textId="293D70D8" w:rsidR="0093524F" w:rsidRPr="0093524F" w:rsidRDefault="00776B8D" w:rsidP="00FA6160">
            <w:pPr>
              <w:rPr>
                <w:rFonts w:eastAsia="Times New Roman" w:cstheme="minorHAnsi"/>
              </w:rPr>
            </w:pPr>
            <w:r>
              <w:rPr>
                <w:rFonts w:eastAsia="Times New Roman" w:cstheme="minorHAnsi"/>
              </w:rPr>
              <w:t>Borderline low</w:t>
            </w:r>
          </w:p>
        </w:tc>
        <w:tc>
          <w:tcPr>
            <w:tcW w:w="3690" w:type="dxa"/>
          </w:tcPr>
          <w:p w14:paraId="113990CA" w14:textId="7FE39BD0" w:rsidR="0093524F" w:rsidRPr="0093524F" w:rsidRDefault="00A86834" w:rsidP="00FA6160">
            <w:pPr>
              <w:rPr>
                <w:rFonts w:eastAsia="Times New Roman" w:cstheme="minorHAnsi"/>
              </w:rPr>
            </w:pPr>
            <w:r>
              <w:rPr>
                <w:rFonts w:eastAsia="Times New Roman" w:cstheme="minorHAnsi"/>
              </w:rPr>
              <w:t>Routine testing. Routine monitoring for el</w:t>
            </w:r>
            <w:r w:rsidR="00776B8D">
              <w:rPr>
                <w:rFonts w:eastAsia="Times New Roman" w:cstheme="minorHAnsi"/>
              </w:rPr>
              <w:t xml:space="preserve">ectrolyte imbalances </w:t>
            </w:r>
            <w:r>
              <w:rPr>
                <w:rFonts w:eastAsia="Times New Roman" w:cstheme="minorHAnsi"/>
              </w:rPr>
              <w:t xml:space="preserve">can be </w:t>
            </w:r>
            <w:r w:rsidR="00776B8D">
              <w:rPr>
                <w:rFonts w:eastAsia="Times New Roman" w:cstheme="minorHAnsi"/>
              </w:rPr>
              <w:t xml:space="preserve">related to </w:t>
            </w:r>
            <w:r>
              <w:rPr>
                <w:rFonts w:eastAsia="Times New Roman" w:cstheme="minorHAnsi"/>
              </w:rPr>
              <w:t>fluid imbalance and organ dysfunction.  .</w:t>
            </w:r>
          </w:p>
        </w:tc>
        <w:tc>
          <w:tcPr>
            <w:tcW w:w="3060" w:type="dxa"/>
          </w:tcPr>
          <w:p w14:paraId="687453DF" w14:textId="44298587" w:rsidR="0093524F" w:rsidRPr="0093524F" w:rsidRDefault="00A86834" w:rsidP="00FA6160">
            <w:pPr>
              <w:rPr>
                <w:rFonts w:eastAsia="Times New Roman" w:cstheme="minorHAnsi"/>
              </w:rPr>
            </w:pPr>
            <w:r>
              <w:rPr>
                <w:rFonts w:eastAsia="Times New Roman" w:cstheme="minorHAnsi"/>
              </w:rPr>
              <w:t xml:space="preserve">Low Mg can impair immune function, nerve and muscle cell function and have impact on the balance of other electrolytes. </w:t>
            </w:r>
            <w:r w:rsidRPr="00A86834">
              <w:rPr>
                <w:rFonts w:eastAsia="Times New Roman" w:cstheme="minorHAnsi"/>
              </w:rPr>
              <w:t>Supplementation of low electrolytes can improve recovery.</w:t>
            </w:r>
            <w:r>
              <w:rPr>
                <w:rFonts w:eastAsia="Times New Roman" w:cstheme="minorHAnsi"/>
              </w:rPr>
              <w:t xml:space="preserve"> </w:t>
            </w:r>
            <w:r w:rsidRPr="00A86834">
              <w:rPr>
                <w:rFonts w:eastAsia="Times New Roman" w:cstheme="minorHAnsi"/>
              </w:rPr>
              <w:t>Harding, 2023)</w:t>
            </w:r>
          </w:p>
        </w:tc>
      </w:tr>
      <w:tr w:rsidR="0093524F" w:rsidRPr="0093524F" w14:paraId="6E832B14" w14:textId="77777777" w:rsidTr="00FA6160">
        <w:tc>
          <w:tcPr>
            <w:tcW w:w="1435" w:type="dxa"/>
          </w:tcPr>
          <w:p w14:paraId="2D7EFB8A" w14:textId="45DEA290" w:rsidR="0093524F" w:rsidRPr="0093524F" w:rsidRDefault="002C4949" w:rsidP="00FA6160">
            <w:pPr>
              <w:rPr>
                <w:rFonts w:eastAsia="Times New Roman" w:cstheme="minorHAnsi"/>
              </w:rPr>
            </w:pPr>
            <w:r>
              <w:rPr>
                <w:rFonts w:eastAsia="Times New Roman" w:cstheme="minorHAnsi"/>
              </w:rPr>
              <w:t xml:space="preserve">Ca </w:t>
            </w:r>
          </w:p>
        </w:tc>
        <w:tc>
          <w:tcPr>
            <w:tcW w:w="1080" w:type="dxa"/>
          </w:tcPr>
          <w:p w14:paraId="7B8495B3" w14:textId="186FAD16" w:rsidR="0093524F" w:rsidRPr="0093524F" w:rsidRDefault="00776B8D" w:rsidP="00FA6160">
            <w:pPr>
              <w:rPr>
                <w:rFonts w:eastAsia="Times New Roman" w:cstheme="minorHAnsi"/>
              </w:rPr>
            </w:pPr>
            <w:r>
              <w:rPr>
                <w:rFonts w:eastAsia="Times New Roman" w:cstheme="minorHAnsi"/>
              </w:rPr>
              <w:t>7.7</w:t>
            </w:r>
          </w:p>
        </w:tc>
        <w:tc>
          <w:tcPr>
            <w:tcW w:w="1170" w:type="dxa"/>
          </w:tcPr>
          <w:p w14:paraId="286FF98D" w14:textId="5717F704" w:rsidR="0093524F" w:rsidRPr="0093524F" w:rsidRDefault="00776B8D" w:rsidP="00FA6160">
            <w:pPr>
              <w:rPr>
                <w:rFonts w:eastAsia="Times New Roman" w:cstheme="minorHAnsi"/>
              </w:rPr>
            </w:pPr>
            <w:r>
              <w:rPr>
                <w:rFonts w:eastAsia="Times New Roman" w:cstheme="minorHAnsi"/>
              </w:rPr>
              <w:t>Low</w:t>
            </w:r>
          </w:p>
        </w:tc>
        <w:tc>
          <w:tcPr>
            <w:tcW w:w="3690" w:type="dxa"/>
          </w:tcPr>
          <w:p w14:paraId="6AC56412" w14:textId="1A407743" w:rsidR="0093524F" w:rsidRPr="0093524F" w:rsidRDefault="00A86834" w:rsidP="00FA6160">
            <w:pPr>
              <w:rPr>
                <w:rFonts w:eastAsia="Times New Roman" w:cstheme="minorHAnsi"/>
              </w:rPr>
            </w:pPr>
            <w:r>
              <w:rPr>
                <w:rFonts w:eastAsia="Times New Roman" w:cstheme="minorHAnsi"/>
              </w:rPr>
              <w:t>Routine testing.</w:t>
            </w:r>
            <w:r w:rsidRPr="00A86834">
              <w:rPr>
                <w:rFonts w:eastAsia="Times New Roman" w:cstheme="minorHAnsi"/>
              </w:rPr>
              <w:t xml:space="preserve"> </w:t>
            </w:r>
            <w:r w:rsidRPr="00A86834">
              <w:rPr>
                <w:rFonts w:eastAsia="Times New Roman" w:cstheme="minorHAnsi"/>
              </w:rPr>
              <w:t>Routine monitoring for electrolyte imbalances can be related to fluid imbalance and organ dysfunction.</w:t>
            </w:r>
          </w:p>
        </w:tc>
        <w:tc>
          <w:tcPr>
            <w:tcW w:w="3060" w:type="dxa"/>
          </w:tcPr>
          <w:p w14:paraId="319CFC2D" w14:textId="161BF662" w:rsidR="0093524F" w:rsidRPr="0093524F" w:rsidRDefault="00776B8D" w:rsidP="00FA6160">
            <w:pPr>
              <w:rPr>
                <w:rFonts w:eastAsia="Times New Roman" w:cstheme="minorHAnsi"/>
              </w:rPr>
            </w:pPr>
            <w:r>
              <w:rPr>
                <w:rFonts w:eastAsia="Times New Roman" w:cstheme="minorHAnsi"/>
              </w:rPr>
              <w:t>Can impa</w:t>
            </w:r>
            <w:r w:rsidR="00C976E4">
              <w:rPr>
                <w:rFonts w:eastAsia="Times New Roman" w:cstheme="minorHAnsi"/>
              </w:rPr>
              <w:t xml:space="preserve">ir </w:t>
            </w:r>
            <w:r>
              <w:rPr>
                <w:rFonts w:eastAsia="Times New Roman" w:cstheme="minorHAnsi"/>
              </w:rPr>
              <w:t>muscle function and clottin</w:t>
            </w:r>
            <w:r w:rsidR="00C976E4">
              <w:rPr>
                <w:rFonts w:eastAsia="Times New Roman" w:cstheme="minorHAnsi"/>
              </w:rPr>
              <w:t>g</w:t>
            </w:r>
            <w:r w:rsidR="00A86834">
              <w:rPr>
                <w:rFonts w:eastAsia="Times New Roman" w:cstheme="minorHAnsi"/>
              </w:rPr>
              <w:t xml:space="preserve">.  </w:t>
            </w:r>
            <w:r w:rsidR="00A86834" w:rsidRPr="00A86834">
              <w:rPr>
                <w:rFonts w:eastAsia="Times New Roman" w:cstheme="minorHAnsi"/>
              </w:rPr>
              <w:t>Supplementation of low electrolytes can improve recovery.</w:t>
            </w:r>
            <w:r w:rsidR="00A86834">
              <w:rPr>
                <w:rFonts w:eastAsia="Times New Roman" w:cstheme="minorHAnsi"/>
              </w:rPr>
              <w:t xml:space="preserve"> (Harding, 2023)</w:t>
            </w:r>
          </w:p>
        </w:tc>
      </w:tr>
      <w:tr w:rsidR="0093524F" w:rsidRPr="0093524F" w14:paraId="44331DF2" w14:textId="77777777" w:rsidTr="00FA6160">
        <w:tc>
          <w:tcPr>
            <w:tcW w:w="1435" w:type="dxa"/>
          </w:tcPr>
          <w:p w14:paraId="3BEA003B" w14:textId="3C408E46" w:rsidR="0093524F" w:rsidRPr="0093524F" w:rsidRDefault="002C4949" w:rsidP="00FA6160">
            <w:pPr>
              <w:rPr>
                <w:rFonts w:eastAsia="Times New Roman" w:cstheme="minorHAnsi"/>
              </w:rPr>
            </w:pPr>
            <w:r>
              <w:rPr>
                <w:rFonts w:eastAsia="Times New Roman" w:cstheme="minorHAnsi"/>
              </w:rPr>
              <w:t>Imm Granulocytes</w:t>
            </w:r>
            <w:r w:rsidR="00143BAE">
              <w:rPr>
                <w:rFonts w:eastAsia="Times New Roman" w:cstheme="minorHAnsi"/>
              </w:rPr>
              <w:t xml:space="preserve"> </w:t>
            </w:r>
          </w:p>
        </w:tc>
        <w:tc>
          <w:tcPr>
            <w:tcW w:w="1080" w:type="dxa"/>
          </w:tcPr>
          <w:p w14:paraId="1B179ED8" w14:textId="4E9BDFDC" w:rsidR="0093524F" w:rsidRPr="0093524F" w:rsidRDefault="002C4949" w:rsidP="00FA6160">
            <w:pPr>
              <w:rPr>
                <w:rFonts w:eastAsia="Times New Roman" w:cstheme="minorHAnsi"/>
              </w:rPr>
            </w:pPr>
            <w:r>
              <w:rPr>
                <w:rFonts w:eastAsia="Times New Roman" w:cstheme="minorHAnsi"/>
              </w:rPr>
              <w:t>3.0</w:t>
            </w:r>
          </w:p>
        </w:tc>
        <w:tc>
          <w:tcPr>
            <w:tcW w:w="1170" w:type="dxa"/>
          </w:tcPr>
          <w:p w14:paraId="74357BEA" w14:textId="67173506" w:rsidR="0093524F" w:rsidRPr="0093524F" w:rsidRDefault="002C4949" w:rsidP="00FA6160">
            <w:pPr>
              <w:rPr>
                <w:rFonts w:eastAsia="Times New Roman" w:cstheme="minorHAnsi"/>
              </w:rPr>
            </w:pPr>
            <w:r>
              <w:rPr>
                <w:rFonts w:eastAsia="Times New Roman" w:cstheme="minorHAnsi"/>
              </w:rPr>
              <w:t>Abnormal</w:t>
            </w:r>
          </w:p>
        </w:tc>
        <w:tc>
          <w:tcPr>
            <w:tcW w:w="3690" w:type="dxa"/>
          </w:tcPr>
          <w:p w14:paraId="42DFA9BB" w14:textId="6819AE4C" w:rsidR="0093524F" w:rsidRPr="0093524F" w:rsidRDefault="00A86834" w:rsidP="00FA6160">
            <w:pPr>
              <w:rPr>
                <w:rFonts w:eastAsia="Times New Roman" w:cstheme="minorHAnsi"/>
              </w:rPr>
            </w:pPr>
            <w:r>
              <w:rPr>
                <w:rFonts w:eastAsia="Times New Roman" w:cstheme="minorHAnsi"/>
              </w:rPr>
              <w:t xml:space="preserve">Presence of </w:t>
            </w:r>
            <w:proofErr w:type="spellStart"/>
            <w:r>
              <w:rPr>
                <w:rFonts w:eastAsia="Times New Roman" w:cstheme="minorHAnsi"/>
              </w:rPr>
              <w:t>imm</w:t>
            </w:r>
            <w:proofErr w:type="spellEnd"/>
            <w:r>
              <w:rPr>
                <w:rFonts w:eastAsia="Times New Roman" w:cstheme="minorHAnsi"/>
              </w:rPr>
              <w:t xml:space="preserve"> Granulocytes indication stress on bone marrow production and indication severity of infection</w:t>
            </w:r>
            <w:r w:rsidR="00143BAE">
              <w:rPr>
                <w:rFonts w:eastAsia="Times New Roman" w:cstheme="minorHAnsi"/>
              </w:rPr>
              <w:t xml:space="preserve">. </w:t>
            </w:r>
          </w:p>
        </w:tc>
        <w:tc>
          <w:tcPr>
            <w:tcW w:w="3060" w:type="dxa"/>
          </w:tcPr>
          <w:p w14:paraId="197F502A" w14:textId="15F2D5FC" w:rsidR="0093524F" w:rsidRPr="0093524F" w:rsidRDefault="00776B8D" w:rsidP="00FA6160">
            <w:pPr>
              <w:rPr>
                <w:rFonts w:eastAsia="Times New Roman" w:cstheme="minorHAnsi"/>
              </w:rPr>
            </w:pPr>
            <w:r>
              <w:rPr>
                <w:rFonts w:eastAsia="Times New Roman" w:cstheme="minorHAnsi"/>
              </w:rPr>
              <w:t>Left shift, bone marrow is responding to severe infection</w:t>
            </w:r>
            <w:r w:rsidR="00A86834">
              <w:rPr>
                <w:rFonts w:eastAsia="Times New Roman" w:cstheme="minorHAnsi"/>
              </w:rPr>
              <w:t xml:space="preserve"> and immune cells production is </w:t>
            </w:r>
            <w:r w:rsidR="00143BAE">
              <w:rPr>
                <w:rFonts w:eastAsia="Times New Roman" w:cstheme="minorHAnsi"/>
              </w:rPr>
              <w:t>likely inadequate.</w:t>
            </w:r>
            <w:r w:rsidR="00143BAE" w:rsidRPr="00143BAE">
              <w:rPr>
                <w:rFonts w:eastAsia="Times New Roman" w:cstheme="minorHAnsi"/>
              </w:rPr>
              <w:t xml:space="preserve"> </w:t>
            </w:r>
            <w:r w:rsidR="00143BAE" w:rsidRPr="00143BAE">
              <w:rPr>
                <w:rFonts w:eastAsia="Times New Roman" w:cstheme="minorHAnsi"/>
              </w:rPr>
              <w:t>Presence of Imm Granulocytes points to increased risk for sepsis</w:t>
            </w:r>
          </w:p>
        </w:tc>
      </w:tr>
      <w:tr w:rsidR="002C4949" w:rsidRPr="0093524F" w14:paraId="5B1DA5F3" w14:textId="77777777" w:rsidTr="00FA6160">
        <w:tc>
          <w:tcPr>
            <w:tcW w:w="1435" w:type="dxa"/>
          </w:tcPr>
          <w:p w14:paraId="589F9486" w14:textId="6A739344" w:rsidR="002C4949" w:rsidRDefault="002C4949" w:rsidP="00FA6160">
            <w:pPr>
              <w:rPr>
                <w:rFonts w:eastAsia="Times New Roman" w:cstheme="minorHAnsi"/>
              </w:rPr>
            </w:pPr>
            <w:r>
              <w:rPr>
                <w:rFonts w:eastAsia="Times New Roman" w:cstheme="minorHAnsi"/>
              </w:rPr>
              <w:t xml:space="preserve">NA </w:t>
            </w:r>
          </w:p>
        </w:tc>
        <w:tc>
          <w:tcPr>
            <w:tcW w:w="1080" w:type="dxa"/>
          </w:tcPr>
          <w:p w14:paraId="7D11CC71" w14:textId="4D360D98" w:rsidR="002C4949" w:rsidRDefault="002C4949" w:rsidP="00FA6160">
            <w:pPr>
              <w:rPr>
                <w:rFonts w:eastAsia="Times New Roman" w:cstheme="minorHAnsi"/>
              </w:rPr>
            </w:pPr>
            <w:r>
              <w:rPr>
                <w:rFonts w:eastAsia="Times New Roman" w:cstheme="minorHAnsi"/>
              </w:rPr>
              <w:t>133</w:t>
            </w:r>
          </w:p>
        </w:tc>
        <w:tc>
          <w:tcPr>
            <w:tcW w:w="1170" w:type="dxa"/>
          </w:tcPr>
          <w:p w14:paraId="2EDCFD3E" w14:textId="7AB1741A" w:rsidR="002C4949" w:rsidRPr="0093524F" w:rsidRDefault="00776B8D" w:rsidP="00FA6160">
            <w:pPr>
              <w:rPr>
                <w:rFonts w:eastAsia="Times New Roman" w:cstheme="minorHAnsi"/>
              </w:rPr>
            </w:pPr>
            <w:r>
              <w:rPr>
                <w:rFonts w:eastAsia="Times New Roman" w:cstheme="minorHAnsi"/>
              </w:rPr>
              <w:t>Borderline low</w:t>
            </w:r>
          </w:p>
        </w:tc>
        <w:tc>
          <w:tcPr>
            <w:tcW w:w="3690" w:type="dxa"/>
          </w:tcPr>
          <w:p w14:paraId="6EEC0677" w14:textId="2007D8ED" w:rsidR="002C4949" w:rsidRPr="0093524F" w:rsidRDefault="00776B8D" w:rsidP="00FA6160">
            <w:pPr>
              <w:rPr>
                <w:rFonts w:eastAsia="Times New Roman" w:cstheme="minorHAnsi"/>
              </w:rPr>
            </w:pPr>
            <w:r>
              <w:rPr>
                <w:rFonts w:eastAsia="Times New Roman" w:cstheme="minorHAnsi"/>
              </w:rPr>
              <w:t>Electrolyte balance and hydration status</w:t>
            </w:r>
            <w:r w:rsidR="00143BAE">
              <w:rPr>
                <w:rFonts w:eastAsia="Times New Roman" w:cstheme="minorHAnsi"/>
              </w:rPr>
              <w:t xml:space="preserve"> </w:t>
            </w:r>
            <w:r w:rsidR="00143BAE" w:rsidRPr="00143BAE">
              <w:rPr>
                <w:rFonts w:eastAsia="Times New Roman" w:cstheme="minorHAnsi"/>
              </w:rPr>
              <w:t>(Pagana, 2025)</w:t>
            </w:r>
          </w:p>
        </w:tc>
        <w:tc>
          <w:tcPr>
            <w:tcW w:w="3060" w:type="dxa"/>
          </w:tcPr>
          <w:p w14:paraId="6FC1065A" w14:textId="74012C6D" w:rsidR="002C4949" w:rsidRPr="0093524F" w:rsidRDefault="00776B8D" w:rsidP="00FA6160">
            <w:pPr>
              <w:rPr>
                <w:rFonts w:eastAsia="Times New Roman" w:cstheme="minorHAnsi"/>
              </w:rPr>
            </w:pPr>
            <w:r>
              <w:rPr>
                <w:rFonts w:eastAsia="Times New Roman" w:cstheme="minorHAnsi"/>
              </w:rPr>
              <w:t>Mild hyponatremia</w:t>
            </w:r>
            <w:r w:rsidR="00143BAE">
              <w:rPr>
                <w:rFonts w:eastAsia="Times New Roman" w:cstheme="minorHAnsi"/>
              </w:rPr>
              <w:t xml:space="preserve"> </w:t>
            </w:r>
            <w:r w:rsidR="00143BAE" w:rsidRPr="00143BAE">
              <w:rPr>
                <w:rFonts w:eastAsia="Times New Roman" w:cstheme="minorHAnsi"/>
              </w:rPr>
              <w:t>(Pagana, 2025)</w:t>
            </w:r>
            <w:r w:rsidR="00143BAE">
              <w:rPr>
                <w:rFonts w:eastAsia="Times New Roman" w:cstheme="minorHAnsi"/>
              </w:rPr>
              <w:t xml:space="preserve"> </w:t>
            </w:r>
          </w:p>
        </w:tc>
      </w:tr>
      <w:tr w:rsidR="002C4949" w:rsidRPr="0093524F" w14:paraId="31C51AA9" w14:textId="77777777" w:rsidTr="00FA6160">
        <w:tc>
          <w:tcPr>
            <w:tcW w:w="1435" w:type="dxa"/>
          </w:tcPr>
          <w:p w14:paraId="4B1E516B" w14:textId="4976DC56" w:rsidR="002C4949" w:rsidRDefault="002C4949" w:rsidP="00FA6160">
            <w:pPr>
              <w:rPr>
                <w:rFonts w:eastAsia="Times New Roman" w:cstheme="minorHAnsi"/>
              </w:rPr>
            </w:pPr>
            <w:r>
              <w:rPr>
                <w:rFonts w:eastAsia="Times New Roman" w:cstheme="minorHAnsi"/>
              </w:rPr>
              <w:t xml:space="preserve">WBC </w:t>
            </w:r>
          </w:p>
        </w:tc>
        <w:tc>
          <w:tcPr>
            <w:tcW w:w="1080" w:type="dxa"/>
          </w:tcPr>
          <w:p w14:paraId="65265780" w14:textId="59A36BE0" w:rsidR="002C4949" w:rsidRDefault="002C4949" w:rsidP="00FA6160">
            <w:pPr>
              <w:rPr>
                <w:rFonts w:eastAsia="Times New Roman" w:cstheme="minorHAnsi"/>
              </w:rPr>
            </w:pPr>
            <w:r>
              <w:rPr>
                <w:rFonts w:eastAsia="Times New Roman" w:cstheme="minorHAnsi"/>
              </w:rPr>
              <w:t>23</w:t>
            </w:r>
          </w:p>
        </w:tc>
        <w:tc>
          <w:tcPr>
            <w:tcW w:w="1170" w:type="dxa"/>
          </w:tcPr>
          <w:p w14:paraId="0AF7BD58" w14:textId="581A3458" w:rsidR="002C4949" w:rsidRPr="0093524F" w:rsidRDefault="002C4949" w:rsidP="00FA6160">
            <w:pPr>
              <w:rPr>
                <w:rFonts w:eastAsia="Times New Roman" w:cstheme="minorHAnsi"/>
              </w:rPr>
            </w:pPr>
            <w:r>
              <w:rPr>
                <w:rFonts w:eastAsia="Times New Roman" w:cstheme="minorHAnsi"/>
              </w:rPr>
              <w:t>Abnormal</w:t>
            </w:r>
          </w:p>
        </w:tc>
        <w:tc>
          <w:tcPr>
            <w:tcW w:w="3690" w:type="dxa"/>
          </w:tcPr>
          <w:p w14:paraId="5D278566" w14:textId="7998D33A" w:rsidR="002C4949" w:rsidRPr="0093524F" w:rsidRDefault="00143BAE" w:rsidP="00FA6160">
            <w:pPr>
              <w:rPr>
                <w:rFonts w:eastAsia="Times New Roman" w:cstheme="minorHAnsi"/>
              </w:rPr>
            </w:pPr>
            <w:r>
              <w:rPr>
                <w:rFonts w:eastAsia="Times New Roman" w:cstheme="minorHAnsi"/>
              </w:rPr>
              <w:t xml:space="preserve">Routine testing.  </w:t>
            </w:r>
            <w:r w:rsidR="002C4949">
              <w:rPr>
                <w:rFonts w:eastAsia="Times New Roman" w:cstheme="minorHAnsi"/>
              </w:rPr>
              <w:t xml:space="preserve">Indication of infection.  </w:t>
            </w:r>
            <w:r w:rsidR="00776B8D">
              <w:rPr>
                <w:rFonts w:eastAsia="Times New Roman" w:cstheme="minorHAnsi"/>
              </w:rPr>
              <w:t>Significant infection</w:t>
            </w:r>
            <w:r>
              <w:rPr>
                <w:rFonts w:eastAsia="Times New Roman" w:cstheme="minorHAnsi"/>
              </w:rPr>
              <w:t xml:space="preserve"> </w:t>
            </w:r>
            <w:r w:rsidRPr="00143BAE">
              <w:rPr>
                <w:rFonts w:eastAsia="Times New Roman" w:cstheme="minorHAnsi"/>
              </w:rPr>
              <w:t>(Pagana, 2025)</w:t>
            </w:r>
          </w:p>
        </w:tc>
        <w:tc>
          <w:tcPr>
            <w:tcW w:w="3060" w:type="dxa"/>
          </w:tcPr>
          <w:p w14:paraId="50358F3E" w14:textId="7C7A7E09" w:rsidR="002C4949" w:rsidRPr="0093524F" w:rsidRDefault="002C4949" w:rsidP="00FA6160">
            <w:pPr>
              <w:rPr>
                <w:rFonts w:eastAsia="Times New Roman" w:cstheme="minorHAnsi"/>
              </w:rPr>
            </w:pPr>
            <w:r w:rsidRPr="002C4949">
              <w:rPr>
                <w:rFonts w:eastAsia="Times New Roman" w:cstheme="minorHAnsi"/>
              </w:rPr>
              <w:t xml:space="preserve">This value has been improving over the past 4 </w:t>
            </w:r>
            <w:r w:rsidR="00114E6B" w:rsidRPr="002C4949">
              <w:rPr>
                <w:rFonts w:eastAsia="Times New Roman" w:cstheme="minorHAnsi"/>
              </w:rPr>
              <w:t xml:space="preserve">days, </w:t>
            </w:r>
            <w:proofErr w:type="gramStart"/>
            <w:r w:rsidR="00114E6B" w:rsidRPr="002C4949">
              <w:rPr>
                <w:rFonts w:eastAsia="Times New Roman" w:cstheme="minorHAnsi"/>
              </w:rPr>
              <w:t>Down</w:t>
            </w:r>
            <w:proofErr w:type="gramEnd"/>
            <w:r w:rsidRPr="002C4949">
              <w:rPr>
                <w:rFonts w:eastAsia="Times New Roman" w:cstheme="minorHAnsi"/>
              </w:rPr>
              <w:t xml:space="preserve"> to 23 from 31</w:t>
            </w:r>
            <w:r w:rsidR="007329CF">
              <w:rPr>
                <w:rFonts w:eastAsia="Times New Roman" w:cstheme="minorHAnsi"/>
              </w:rPr>
              <w:t xml:space="preserve">.  </w:t>
            </w:r>
            <w:proofErr w:type="spellStart"/>
            <w:r w:rsidR="007329CF">
              <w:rPr>
                <w:rFonts w:eastAsia="Times New Roman" w:cstheme="minorHAnsi"/>
              </w:rPr>
              <w:t>Anbormal</w:t>
            </w:r>
            <w:proofErr w:type="spellEnd"/>
            <w:r w:rsidR="007329CF">
              <w:rPr>
                <w:rFonts w:eastAsia="Times New Roman" w:cstheme="minorHAnsi"/>
              </w:rPr>
              <w:t xml:space="preserve"> but improving since initial test in the ED.</w:t>
            </w:r>
          </w:p>
        </w:tc>
      </w:tr>
      <w:tr w:rsidR="002C4949" w:rsidRPr="0093524F" w14:paraId="6103EA00" w14:textId="77777777" w:rsidTr="00FA6160">
        <w:tc>
          <w:tcPr>
            <w:tcW w:w="1435" w:type="dxa"/>
          </w:tcPr>
          <w:p w14:paraId="055FE8D4" w14:textId="433DA207" w:rsidR="002C4949" w:rsidRDefault="002C4949" w:rsidP="00FA6160">
            <w:pPr>
              <w:rPr>
                <w:rFonts w:eastAsia="Times New Roman" w:cstheme="minorHAnsi"/>
              </w:rPr>
            </w:pPr>
            <w:r>
              <w:rPr>
                <w:rFonts w:eastAsia="Times New Roman" w:cstheme="minorHAnsi"/>
              </w:rPr>
              <w:t>CRP</w:t>
            </w:r>
          </w:p>
        </w:tc>
        <w:tc>
          <w:tcPr>
            <w:tcW w:w="1080" w:type="dxa"/>
          </w:tcPr>
          <w:p w14:paraId="4B73B4CD" w14:textId="057E263F" w:rsidR="002C4949" w:rsidRDefault="00114E6B" w:rsidP="00FA6160">
            <w:pPr>
              <w:rPr>
                <w:rFonts w:eastAsia="Times New Roman" w:cstheme="minorHAnsi"/>
              </w:rPr>
            </w:pPr>
            <w:r>
              <w:rPr>
                <w:rFonts w:eastAsia="Times New Roman" w:cstheme="minorHAnsi"/>
              </w:rPr>
              <w:t>235</w:t>
            </w:r>
          </w:p>
        </w:tc>
        <w:tc>
          <w:tcPr>
            <w:tcW w:w="1170" w:type="dxa"/>
          </w:tcPr>
          <w:p w14:paraId="30EC079F" w14:textId="77777777" w:rsidR="002C4949" w:rsidRPr="0093524F" w:rsidRDefault="002C4949" w:rsidP="00FA6160">
            <w:pPr>
              <w:rPr>
                <w:rFonts w:eastAsia="Times New Roman" w:cstheme="minorHAnsi"/>
              </w:rPr>
            </w:pPr>
          </w:p>
        </w:tc>
        <w:tc>
          <w:tcPr>
            <w:tcW w:w="3690" w:type="dxa"/>
          </w:tcPr>
          <w:p w14:paraId="69ED2EDC" w14:textId="52C7F576" w:rsidR="002C4949" w:rsidRPr="0093524F" w:rsidRDefault="00114E6B" w:rsidP="00FA6160">
            <w:pPr>
              <w:rPr>
                <w:rFonts w:eastAsia="Times New Roman" w:cstheme="minorHAnsi"/>
              </w:rPr>
            </w:pPr>
            <w:r>
              <w:rPr>
                <w:rFonts w:eastAsia="Times New Roman" w:cstheme="minorHAnsi"/>
              </w:rPr>
              <w:t xml:space="preserve">This test gives an indication of the level of inflammation in the body.  C-reactive protein.  This is a non-specific test that quantifies the severity of </w:t>
            </w:r>
            <w:proofErr w:type="spellStart"/>
            <w:r>
              <w:rPr>
                <w:rFonts w:eastAsia="Times New Roman" w:cstheme="minorHAnsi"/>
              </w:rPr>
              <w:t>of</w:t>
            </w:r>
            <w:proofErr w:type="spellEnd"/>
            <w:r>
              <w:rPr>
                <w:rFonts w:eastAsia="Times New Roman" w:cstheme="minorHAnsi"/>
              </w:rPr>
              <w:t xml:space="preserve"> bacterial infection and inflammation. (Capriotti, 2023)</w:t>
            </w:r>
          </w:p>
        </w:tc>
        <w:tc>
          <w:tcPr>
            <w:tcW w:w="3060" w:type="dxa"/>
          </w:tcPr>
          <w:p w14:paraId="4B2B8E6E" w14:textId="7ED28BCA" w:rsidR="002C4949" w:rsidRPr="0093524F" w:rsidRDefault="00114E6B" w:rsidP="00FA6160">
            <w:pPr>
              <w:rPr>
                <w:rFonts w:eastAsia="Times New Roman" w:cstheme="minorHAnsi"/>
              </w:rPr>
            </w:pPr>
            <w:r w:rsidRPr="00114E6B">
              <w:rPr>
                <w:rFonts w:eastAsia="Times New Roman" w:cstheme="minorHAnsi"/>
              </w:rPr>
              <w:t>A result of 235 would be considered </w:t>
            </w:r>
            <w:r w:rsidRPr="00114E6B">
              <w:rPr>
                <w:rFonts w:eastAsia="Times New Roman" w:cstheme="minorHAnsi"/>
                <w:i/>
                <w:iCs/>
              </w:rPr>
              <w:t>very high</w:t>
            </w:r>
            <w:r w:rsidRPr="00114E6B">
              <w:rPr>
                <w:rFonts w:eastAsia="Times New Roman" w:cstheme="minorHAnsi"/>
              </w:rPr>
              <w:t xml:space="preserve"> and indicates systemic infection or severe inflammatory response. In hospitalized patients with infection, levels in this range suggest the need for aggressive </w:t>
            </w:r>
            <w:r w:rsidRPr="00114E6B">
              <w:rPr>
                <w:rFonts w:eastAsia="Times New Roman" w:cstheme="minorHAnsi"/>
              </w:rPr>
              <w:lastRenderedPageBreak/>
              <w:t>management, possibly including IV antibiotics and fluid resuscitation.</w:t>
            </w:r>
            <w:r>
              <w:rPr>
                <w:rFonts w:eastAsia="Times New Roman" w:cstheme="minorHAnsi"/>
              </w:rPr>
              <w:t xml:space="preserve"> (Capriotti, 2023)</w:t>
            </w:r>
          </w:p>
        </w:tc>
      </w:tr>
      <w:tr w:rsidR="002C4949" w:rsidRPr="0093524F" w14:paraId="34346C7E" w14:textId="77777777" w:rsidTr="00FA6160">
        <w:tc>
          <w:tcPr>
            <w:tcW w:w="1435" w:type="dxa"/>
          </w:tcPr>
          <w:p w14:paraId="5B271716" w14:textId="6B96C075" w:rsidR="002C4949" w:rsidRDefault="002C4949" w:rsidP="00FA6160">
            <w:pPr>
              <w:rPr>
                <w:rFonts w:eastAsia="Times New Roman" w:cstheme="minorHAnsi"/>
              </w:rPr>
            </w:pPr>
            <w:r>
              <w:rPr>
                <w:rFonts w:eastAsia="Times New Roman" w:cstheme="minorHAnsi"/>
              </w:rPr>
              <w:lastRenderedPageBreak/>
              <w:t xml:space="preserve">Lactate </w:t>
            </w:r>
          </w:p>
        </w:tc>
        <w:tc>
          <w:tcPr>
            <w:tcW w:w="1080" w:type="dxa"/>
          </w:tcPr>
          <w:p w14:paraId="05AD7E5D" w14:textId="3B8C6A89" w:rsidR="002C4949" w:rsidRDefault="002C4949" w:rsidP="00FA6160">
            <w:pPr>
              <w:rPr>
                <w:rFonts w:eastAsia="Times New Roman" w:cstheme="minorHAnsi"/>
              </w:rPr>
            </w:pPr>
            <w:r>
              <w:rPr>
                <w:rFonts w:eastAsia="Times New Roman" w:cstheme="minorHAnsi"/>
              </w:rPr>
              <w:t>0.6</w:t>
            </w:r>
          </w:p>
        </w:tc>
        <w:tc>
          <w:tcPr>
            <w:tcW w:w="1170" w:type="dxa"/>
          </w:tcPr>
          <w:p w14:paraId="6BD56151" w14:textId="77777777" w:rsidR="002C4949" w:rsidRPr="0093524F" w:rsidRDefault="002C4949" w:rsidP="00FA6160">
            <w:pPr>
              <w:rPr>
                <w:rFonts w:eastAsia="Times New Roman" w:cstheme="minorHAnsi"/>
              </w:rPr>
            </w:pPr>
          </w:p>
        </w:tc>
        <w:tc>
          <w:tcPr>
            <w:tcW w:w="3690" w:type="dxa"/>
          </w:tcPr>
          <w:p w14:paraId="74034EB8" w14:textId="3C8EE2D2" w:rsidR="002C4949" w:rsidRPr="0093524F" w:rsidRDefault="00114E6B" w:rsidP="00FA6160">
            <w:pPr>
              <w:rPr>
                <w:rFonts w:eastAsia="Times New Roman" w:cstheme="minorHAnsi"/>
              </w:rPr>
            </w:pPr>
            <w:r>
              <w:rPr>
                <w:rFonts w:eastAsia="Times New Roman" w:cstheme="minorHAnsi"/>
              </w:rPr>
              <w:t xml:space="preserve">Lactate monitoring is part </w:t>
            </w:r>
            <w:r w:rsidR="00DD2E85">
              <w:rPr>
                <w:rFonts w:eastAsia="Times New Roman" w:cstheme="minorHAnsi"/>
              </w:rPr>
              <w:t xml:space="preserve">of </w:t>
            </w:r>
            <w:r w:rsidR="00A86834">
              <w:rPr>
                <w:rFonts w:eastAsia="Times New Roman" w:cstheme="minorHAnsi"/>
              </w:rPr>
              <w:t>monitoring for sepsis or SIRS.  An increase in lactate concentration to 4 would indicate a concerning decrease in perfusion and tissue oxygenation. (Harding, 2023)</w:t>
            </w:r>
          </w:p>
        </w:tc>
        <w:tc>
          <w:tcPr>
            <w:tcW w:w="3060" w:type="dxa"/>
          </w:tcPr>
          <w:p w14:paraId="3DEFD112" w14:textId="361EA813" w:rsidR="002C4949" w:rsidRPr="0093524F" w:rsidRDefault="00C976E4" w:rsidP="00FA6160">
            <w:pPr>
              <w:rPr>
                <w:rFonts w:eastAsia="Times New Roman" w:cstheme="minorHAnsi"/>
              </w:rPr>
            </w:pPr>
            <w:r>
              <w:rPr>
                <w:rFonts w:eastAsia="Times New Roman" w:cstheme="minorHAnsi"/>
              </w:rPr>
              <w:t xml:space="preserve">Indicates anaerobic metabolism decreased tissue perfusion.  This value is </w:t>
            </w:r>
            <w:r w:rsidR="00114E6B">
              <w:rPr>
                <w:rFonts w:eastAsia="Times New Roman" w:cstheme="minorHAnsi"/>
              </w:rPr>
              <w:t>normal but</w:t>
            </w:r>
            <w:r>
              <w:rPr>
                <w:rFonts w:eastAsia="Times New Roman" w:cstheme="minorHAnsi"/>
              </w:rPr>
              <w:t xml:space="preserve"> must be closely monitored as it is one of the important labs to note for sepsis. </w:t>
            </w:r>
            <w:r w:rsidR="007329CF">
              <w:rPr>
                <w:rFonts w:eastAsia="Times New Roman" w:cstheme="minorHAnsi"/>
              </w:rPr>
              <w:t>(Pagana, 2025)</w:t>
            </w:r>
          </w:p>
        </w:tc>
      </w:tr>
      <w:tr w:rsidR="002C4949" w:rsidRPr="0093524F" w14:paraId="35AFD2EE" w14:textId="77777777" w:rsidTr="00FA6160">
        <w:tc>
          <w:tcPr>
            <w:tcW w:w="1435" w:type="dxa"/>
          </w:tcPr>
          <w:p w14:paraId="6331C00C" w14:textId="4E947043" w:rsidR="002C4949" w:rsidRDefault="002C4949" w:rsidP="00FA6160">
            <w:pPr>
              <w:rPr>
                <w:rFonts w:eastAsia="Times New Roman" w:cstheme="minorHAnsi"/>
              </w:rPr>
            </w:pPr>
            <w:r>
              <w:rPr>
                <w:rFonts w:eastAsia="Times New Roman" w:cstheme="minorHAnsi"/>
              </w:rPr>
              <w:t>H</w:t>
            </w:r>
            <w:r w:rsidR="006204BB">
              <w:rPr>
                <w:rFonts w:eastAsia="Times New Roman" w:cstheme="minorHAnsi"/>
              </w:rPr>
              <w:t>gb</w:t>
            </w:r>
          </w:p>
        </w:tc>
        <w:tc>
          <w:tcPr>
            <w:tcW w:w="1080" w:type="dxa"/>
          </w:tcPr>
          <w:p w14:paraId="06A1793C" w14:textId="3C751DF3" w:rsidR="002C4949" w:rsidRDefault="002C4949" w:rsidP="00FA6160">
            <w:pPr>
              <w:rPr>
                <w:rFonts w:eastAsia="Times New Roman" w:cstheme="minorHAnsi"/>
              </w:rPr>
            </w:pPr>
            <w:r>
              <w:rPr>
                <w:rFonts w:eastAsia="Times New Roman" w:cstheme="minorHAnsi"/>
              </w:rPr>
              <w:t>11.7</w:t>
            </w:r>
          </w:p>
        </w:tc>
        <w:tc>
          <w:tcPr>
            <w:tcW w:w="1170" w:type="dxa"/>
          </w:tcPr>
          <w:p w14:paraId="7BB4A359" w14:textId="77777777" w:rsidR="002C4949" w:rsidRPr="0093524F" w:rsidRDefault="002C4949" w:rsidP="00FA6160">
            <w:pPr>
              <w:rPr>
                <w:rFonts w:eastAsia="Times New Roman" w:cstheme="minorHAnsi"/>
              </w:rPr>
            </w:pPr>
          </w:p>
        </w:tc>
        <w:tc>
          <w:tcPr>
            <w:tcW w:w="3690" w:type="dxa"/>
          </w:tcPr>
          <w:p w14:paraId="5BEB8225" w14:textId="1F39DFCB" w:rsidR="002C4949" w:rsidRPr="0093524F" w:rsidRDefault="002D06CF" w:rsidP="00FA6160">
            <w:pPr>
              <w:rPr>
                <w:rFonts w:eastAsia="Times New Roman" w:cstheme="minorHAnsi"/>
              </w:rPr>
            </w:pPr>
            <w:r>
              <w:rPr>
                <w:rFonts w:eastAsia="Times New Roman" w:cstheme="minorHAnsi"/>
              </w:rPr>
              <w:t xml:space="preserve">Patient is at risk for anemia, and infection is increasing demand for oxygenation.  Hct and </w:t>
            </w:r>
            <w:proofErr w:type="spellStart"/>
            <w:r>
              <w:rPr>
                <w:rFonts w:eastAsia="Times New Roman" w:cstheme="minorHAnsi"/>
              </w:rPr>
              <w:t>Hbg</w:t>
            </w:r>
            <w:proofErr w:type="spellEnd"/>
            <w:r>
              <w:rPr>
                <w:rFonts w:eastAsia="Times New Roman" w:cstheme="minorHAnsi"/>
              </w:rPr>
              <w:t xml:space="preserve"> are importation for o2 delivery and part of the CBC</w:t>
            </w:r>
            <w:r w:rsidR="00143BAE">
              <w:rPr>
                <w:rFonts w:eastAsia="Times New Roman" w:cstheme="minorHAnsi"/>
              </w:rPr>
              <w:t xml:space="preserve"> (Harding, 2023)</w:t>
            </w:r>
          </w:p>
        </w:tc>
        <w:tc>
          <w:tcPr>
            <w:tcW w:w="3060" w:type="dxa"/>
          </w:tcPr>
          <w:p w14:paraId="74ECA62C" w14:textId="52D73AE9" w:rsidR="002C4949" w:rsidRPr="0093524F" w:rsidRDefault="002D06CF" w:rsidP="00FA6160">
            <w:pPr>
              <w:rPr>
                <w:rFonts w:eastAsia="Times New Roman" w:cstheme="minorHAnsi"/>
              </w:rPr>
            </w:pPr>
            <w:r>
              <w:rPr>
                <w:rFonts w:eastAsia="Times New Roman" w:cstheme="minorHAnsi"/>
              </w:rPr>
              <w:t>Can contribute to fatigue, delayed wound healing and lower oxygenation of the tissues. (Harding, 2023)</w:t>
            </w:r>
          </w:p>
        </w:tc>
      </w:tr>
      <w:tr w:rsidR="002C4949" w:rsidRPr="0093524F" w14:paraId="4F10DECD" w14:textId="77777777" w:rsidTr="00FA6160">
        <w:tc>
          <w:tcPr>
            <w:tcW w:w="1435" w:type="dxa"/>
          </w:tcPr>
          <w:p w14:paraId="11059828" w14:textId="06AFCE11" w:rsidR="002C4949" w:rsidRDefault="002C4949" w:rsidP="00FA6160">
            <w:pPr>
              <w:rPr>
                <w:rFonts w:eastAsia="Times New Roman" w:cstheme="minorHAnsi"/>
              </w:rPr>
            </w:pPr>
            <w:r>
              <w:rPr>
                <w:rFonts w:eastAsia="Times New Roman" w:cstheme="minorHAnsi"/>
              </w:rPr>
              <w:t>Hct</w:t>
            </w:r>
          </w:p>
        </w:tc>
        <w:tc>
          <w:tcPr>
            <w:tcW w:w="1080" w:type="dxa"/>
          </w:tcPr>
          <w:p w14:paraId="1EAAE297" w14:textId="4AD8672C" w:rsidR="002C4949" w:rsidRDefault="002C4949" w:rsidP="00FA6160">
            <w:pPr>
              <w:rPr>
                <w:rFonts w:eastAsia="Times New Roman" w:cstheme="minorHAnsi"/>
              </w:rPr>
            </w:pPr>
            <w:r>
              <w:rPr>
                <w:rFonts w:eastAsia="Times New Roman" w:cstheme="minorHAnsi"/>
              </w:rPr>
              <w:t>35.1</w:t>
            </w:r>
          </w:p>
        </w:tc>
        <w:tc>
          <w:tcPr>
            <w:tcW w:w="1170" w:type="dxa"/>
          </w:tcPr>
          <w:p w14:paraId="1CC38D34" w14:textId="77777777" w:rsidR="002C4949" w:rsidRPr="0093524F" w:rsidRDefault="002C4949" w:rsidP="00FA6160">
            <w:pPr>
              <w:rPr>
                <w:rFonts w:eastAsia="Times New Roman" w:cstheme="minorHAnsi"/>
              </w:rPr>
            </w:pPr>
          </w:p>
        </w:tc>
        <w:tc>
          <w:tcPr>
            <w:tcW w:w="3690" w:type="dxa"/>
          </w:tcPr>
          <w:p w14:paraId="150CCF45" w14:textId="7ACA6B8B" w:rsidR="002C4949" w:rsidRPr="0093524F" w:rsidRDefault="002D06CF" w:rsidP="00FA6160">
            <w:pPr>
              <w:rPr>
                <w:rFonts w:eastAsia="Times New Roman" w:cstheme="minorHAnsi"/>
              </w:rPr>
            </w:pPr>
            <w:r w:rsidRPr="002D06CF">
              <w:rPr>
                <w:rFonts w:eastAsia="Times New Roman" w:cstheme="minorHAnsi"/>
              </w:rPr>
              <w:t>Patient is at risk for anemia, and infection is increasing demand for oxygenation.</w:t>
            </w:r>
            <w:r w:rsidRPr="002D06CF">
              <w:rPr>
                <w:rFonts w:eastAsia="Times New Roman" w:cstheme="minorHAnsi"/>
              </w:rPr>
              <w:t xml:space="preserve"> </w:t>
            </w:r>
            <w:r w:rsidRPr="002D06CF">
              <w:rPr>
                <w:rFonts w:eastAsia="Times New Roman" w:cstheme="minorHAnsi"/>
              </w:rPr>
              <w:t xml:space="preserve">Hct and </w:t>
            </w:r>
            <w:proofErr w:type="spellStart"/>
            <w:r w:rsidRPr="002D06CF">
              <w:rPr>
                <w:rFonts w:eastAsia="Times New Roman" w:cstheme="minorHAnsi"/>
              </w:rPr>
              <w:t>Hbg</w:t>
            </w:r>
            <w:proofErr w:type="spellEnd"/>
            <w:r w:rsidRPr="002D06CF">
              <w:rPr>
                <w:rFonts w:eastAsia="Times New Roman" w:cstheme="minorHAnsi"/>
              </w:rPr>
              <w:t xml:space="preserve"> are importation for o2 delivery and part of the CBC</w:t>
            </w:r>
            <w:r w:rsidR="00143BAE">
              <w:rPr>
                <w:rFonts w:eastAsia="Times New Roman" w:cstheme="minorHAnsi"/>
              </w:rPr>
              <w:t xml:space="preserve"> </w:t>
            </w:r>
            <w:r w:rsidR="00143BAE" w:rsidRPr="00143BAE">
              <w:rPr>
                <w:rFonts w:eastAsia="Times New Roman" w:cstheme="minorHAnsi"/>
              </w:rPr>
              <w:t>(Harding, 2023)</w:t>
            </w:r>
          </w:p>
        </w:tc>
        <w:tc>
          <w:tcPr>
            <w:tcW w:w="3060" w:type="dxa"/>
          </w:tcPr>
          <w:p w14:paraId="27785991" w14:textId="7C689650" w:rsidR="002C4949" w:rsidRPr="0093524F" w:rsidRDefault="002D06CF" w:rsidP="00FA6160">
            <w:pPr>
              <w:rPr>
                <w:rFonts w:eastAsia="Times New Roman" w:cstheme="minorHAnsi"/>
              </w:rPr>
            </w:pPr>
            <w:r w:rsidRPr="002D06CF">
              <w:rPr>
                <w:rFonts w:eastAsia="Times New Roman" w:cstheme="minorHAnsi"/>
              </w:rPr>
              <w:t>Can contribute to fatigue, delayed wound healing and lower oxygenation of the tissues. (Harding, 2023)</w:t>
            </w:r>
          </w:p>
        </w:tc>
      </w:tr>
      <w:tr w:rsidR="002C4949" w:rsidRPr="0093524F" w14:paraId="5B592A8C" w14:textId="77777777" w:rsidTr="00FA6160">
        <w:tc>
          <w:tcPr>
            <w:tcW w:w="1435" w:type="dxa"/>
          </w:tcPr>
          <w:p w14:paraId="087C3CAE" w14:textId="6A10E536" w:rsidR="00304D51" w:rsidRDefault="002C4949" w:rsidP="00304D51">
            <w:pPr>
              <w:rPr>
                <w:rFonts w:eastAsia="Times New Roman" w:cstheme="minorHAnsi"/>
              </w:rPr>
            </w:pPr>
            <w:r>
              <w:rPr>
                <w:rFonts w:eastAsia="Times New Roman" w:cstheme="minorHAnsi"/>
              </w:rPr>
              <w:t>Neutrophils</w:t>
            </w:r>
          </w:p>
          <w:p w14:paraId="153C3754" w14:textId="50374485" w:rsidR="002D06CF" w:rsidRDefault="002D06CF" w:rsidP="00FA6160">
            <w:pPr>
              <w:rPr>
                <w:rFonts w:eastAsia="Times New Roman" w:cstheme="minorHAnsi"/>
              </w:rPr>
            </w:pPr>
          </w:p>
        </w:tc>
        <w:tc>
          <w:tcPr>
            <w:tcW w:w="1080" w:type="dxa"/>
          </w:tcPr>
          <w:p w14:paraId="42235B05" w14:textId="49254B20" w:rsidR="002C4949" w:rsidRDefault="002C4949" w:rsidP="00FA6160">
            <w:pPr>
              <w:rPr>
                <w:rFonts w:eastAsia="Times New Roman" w:cstheme="minorHAnsi"/>
              </w:rPr>
            </w:pPr>
            <w:r>
              <w:rPr>
                <w:rFonts w:eastAsia="Times New Roman" w:cstheme="minorHAnsi"/>
              </w:rPr>
              <w:t>89.8%</w:t>
            </w:r>
          </w:p>
        </w:tc>
        <w:tc>
          <w:tcPr>
            <w:tcW w:w="1170" w:type="dxa"/>
          </w:tcPr>
          <w:p w14:paraId="6167AFEC" w14:textId="77777777" w:rsidR="002C4949" w:rsidRPr="0093524F" w:rsidRDefault="002C4949" w:rsidP="00FA6160">
            <w:pPr>
              <w:rPr>
                <w:rFonts w:eastAsia="Times New Roman" w:cstheme="minorHAnsi"/>
              </w:rPr>
            </w:pPr>
          </w:p>
        </w:tc>
        <w:tc>
          <w:tcPr>
            <w:tcW w:w="3690" w:type="dxa"/>
          </w:tcPr>
          <w:p w14:paraId="61D4DA28" w14:textId="5FAFC428" w:rsidR="002C4949" w:rsidRPr="0093524F" w:rsidRDefault="002D06CF" w:rsidP="00FA6160">
            <w:pPr>
              <w:rPr>
                <w:rFonts w:eastAsia="Times New Roman" w:cstheme="minorHAnsi"/>
              </w:rPr>
            </w:pPr>
            <w:r>
              <w:rPr>
                <w:rFonts w:eastAsia="Times New Roman" w:cstheme="minorHAnsi"/>
              </w:rPr>
              <w:t xml:space="preserve">Neutrophils are the immune cell most associated with bacterial infection and the quantification of the response is indicative of the severity of the infection. </w:t>
            </w:r>
            <w:r w:rsidR="00143BAE" w:rsidRPr="00143BAE">
              <w:rPr>
                <w:rFonts w:eastAsia="Times New Roman" w:cstheme="minorHAnsi"/>
              </w:rPr>
              <w:t>(Pagana, 2025)</w:t>
            </w:r>
          </w:p>
        </w:tc>
        <w:tc>
          <w:tcPr>
            <w:tcW w:w="3060" w:type="dxa"/>
          </w:tcPr>
          <w:p w14:paraId="3DC2202D" w14:textId="6C4F1A7E" w:rsidR="002C4949" w:rsidRPr="0093524F" w:rsidRDefault="00776B8D" w:rsidP="00FA6160">
            <w:pPr>
              <w:rPr>
                <w:rFonts w:eastAsia="Times New Roman" w:cstheme="minorHAnsi"/>
              </w:rPr>
            </w:pPr>
            <w:r>
              <w:rPr>
                <w:rFonts w:eastAsia="Times New Roman" w:cstheme="minorHAnsi"/>
              </w:rPr>
              <w:t>Indicates bacterial sources of infection</w:t>
            </w:r>
            <w:r w:rsidR="00143BAE">
              <w:rPr>
                <w:rFonts w:eastAsia="Times New Roman" w:cstheme="minorHAnsi"/>
              </w:rPr>
              <w:t>.  (Pagana, 2025)</w:t>
            </w:r>
          </w:p>
        </w:tc>
      </w:tr>
      <w:tr w:rsidR="007329CF" w:rsidRPr="0093524F" w14:paraId="6FD42BB5" w14:textId="77777777" w:rsidTr="00FA6160">
        <w:tc>
          <w:tcPr>
            <w:tcW w:w="1435" w:type="dxa"/>
          </w:tcPr>
          <w:p w14:paraId="30C33A20" w14:textId="3CE16A6A" w:rsidR="007329CF" w:rsidRDefault="007329CF" w:rsidP="00FA6160">
            <w:pPr>
              <w:rPr>
                <w:rFonts w:eastAsia="Times New Roman" w:cstheme="minorHAnsi"/>
              </w:rPr>
            </w:pPr>
            <w:r>
              <w:rPr>
                <w:rFonts w:eastAsia="Times New Roman" w:cstheme="minorHAnsi"/>
              </w:rPr>
              <w:t>Toxic granulation and vacuolated neutrophils</w:t>
            </w:r>
          </w:p>
        </w:tc>
        <w:tc>
          <w:tcPr>
            <w:tcW w:w="1080" w:type="dxa"/>
          </w:tcPr>
          <w:p w14:paraId="4C99A4F5" w14:textId="17675610" w:rsidR="007329CF" w:rsidRDefault="007329CF" w:rsidP="00FA6160">
            <w:pPr>
              <w:rPr>
                <w:rFonts w:eastAsia="Times New Roman" w:cstheme="minorHAnsi"/>
              </w:rPr>
            </w:pPr>
            <w:r>
              <w:rPr>
                <w:rFonts w:eastAsia="Times New Roman" w:cstheme="minorHAnsi"/>
              </w:rPr>
              <w:t>present</w:t>
            </w:r>
          </w:p>
        </w:tc>
        <w:tc>
          <w:tcPr>
            <w:tcW w:w="1170" w:type="dxa"/>
          </w:tcPr>
          <w:p w14:paraId="3D5A21D9" w14:textId="5629B355" w:rsidR="007329CF" w:rsidRDefault="007329CF" w:rsidP="00FA6160">
            <w:pPr>
              <w:rPr>
                <w:rFonts w:eastAsia="Times New Roman" w:cstheme="minorHAnsi"/>
              </w:rPr>
            </w:pPr>
            <w:r>
              <w:rPr>
                <w:rFonts w:eastAsia="Times New Roman" w:cstheme="minorHAnsi"/>
              </w:rPr>
              <w:t>abnormal</w:t>
            </w:r>
          </w:p>
        </w:tc>
        <w:tc>
          <w:tcPr>
            <w:tcW w:w="3690" w:type="dxa"/>
          </w:tcPr>
          <w:p w14:paraId="408D08F3" w14:textId="77777777" w:rsidR="007329CF" w:rsidRDefault="007329CF" w:rsidP="00FA6160">
            <w:pPr>
              <w:rPr>
                <w:rFonts w:eastAsia="Times New Roman" w:cstheme="minorHAnsi"/>
              </w:rPr>
            </w:pPr>
            <w:r>
              <w:rPr>
                <w:rFonts w:eastAsia="Times New Roman" w:cstheme="minorHAnsi"/>
              </w:rPr>
              <w:t>Changes in the morphology of immune cells are monitored for signs of worsening infection or sepsis.</w:t>
            </w:r>
          </w:p>
          <w:p w14:paraId="45D14950" w14:textId="6D89D10E" w:rsidR="007329CF" w:rsidRDefault="007329CF" w:rsidP="00FA6160">
            <w:pPr>
              <w:rPr>
                <w:rFonts w:eastAsia="Times New Roman" w:cstheme="minorHAnsi"/>
              </w:rPr>
            </w:pPr>
            <w:r>
              <w:rPr>
                <w:rFonts w:eastAsia="Times New Roman" w:cstheme="minorHAnsi"/>
              </w:rPr>
              <w:t>(Basile, 2020)</w:t>
            </w:r>
          </w:p>
        </w:tc>
        <w:tc>
          <w:tcPr>
            <w:tcW w:w="3060" w:type="dxa"/>
          </w:tcPr>
          <w:p w14:paraId="5DAE072A" w14:textId="77777777" w:rsidR="007329CF" w:rsidRDefault="007329CF" w:rsidP="007329CF">
            <w:pPr>
              <w:rPr>
                <w:rFonts w:eastAsia="Times New Roman" w:cstheme="minorHAnsi"/>
              </w:rPr>
            </w:pPr>
            <w:r w:rsidRPr="007329CF">
              <w:rPr>
                <w:rFonts w:eastAsia="Times New Roman" w:cstheme="minorHAnsi"/>
              </w:rPr>
              <w:t xml:space="preserve">Presence of the </w:t>
            </w:r>
            <w:r w:rsidRPr="007329CF">
              <w:rPr>
                <w:rFonts w:eastAsia="Times New Roman" w:cstheme="minorHAnsi"/>
              </w:rPr>
              <w:t xml:space="preserve">hematologic markers </w:t>
            </w:r>
            <w:r w:rsidRPr="007329CF">
              <w:rPr>
                <w:rFonts w:eastAsia="Times New Roman" w:cstheme="minorHAnsi"/>
              </w:rPr>
              <w:t xml:space="preserve">indicate </w:t>
            </w:r>
            <w:r w:rsidRPr="007329CF">
              <w:rPr>
                <w:rFonts w:eastAsia="Times New Roman" w:cstheme="minorHAnsi"/>
              </w:rPr>
              <w:t xml:space="preserve">systemic bacterial infection and </w:t>
            </w:r>
            <w:r w:rsidRPr="007329CF">
              <w:rPr>
                <w:rFonts w:eastAsia="Times New Roman" w:cstheme="minorHAnsi"/>
              </w:rPr>
              <w:t xml:space="preserve">point to possibility of </w:t>
            </w:r>
            <w:r w:rsidRPr="007329CF">
              <w:rPr>
                <w:rFonts w:eastAsia="Times New Roman" w:cstheme="minorHAnsi"/>
              </w:rPr>
              <w:t>developing sepsis.</w:t>
            </w:r>
          </w:p>
          <w:p w14:paraId="08F666D8" w14:textId="79937331" w:rsidR="007329CF" w:rsidRPr="007329CF" w:rsidRDefault="007329CF" w:rsidP="007329CF">
            <w:pPr>
              <w:rPr>
                <w:rFonts w:eastAsia="Times New Roman" w:cstheme="minorHAnsi"/>
              </w:rPr>
            </w:pPr>
            <w:r>
              <w:rPr>
                <w:rFonts w:eastAsia="Times New Roman" w:cstheme="minorHAnsi"/>
              </w:rPr>
              <w:t>(Basile, 2020)</w:t>
            </w:r>
            <w:r w:rsidRPr="007329CF">
              <w:rPr>
                <w:rFonts w:eastAsia="Times New Roman" w:cstheme="minorHAnsi"/>
              </w:rPr>
              <w:t xml:space="preserve"> </w:t>
            </w:r>
          </w:p>
        </w:tc>
      </w:tr>
      <w:tr w:rsidR="00825003" w:rsidRPr="0093524F" w14:paraId="5AD0E88D" w14:textId="77777777" w:rsidTr="00FA6160">
        <w:tc>
          <w:tcPr>
            <w:tcW w:w="1435" w:type="dxa"/>
          </w:tcPr>
          <w:p w14:paraId="205C8AF4" w14:textId="1F92D85E" w:rsidR="00825003" w:rsidRDefault="00825003" w:rsidP="00FA6160">
            <w:pPr>
              <w:rPr>
                <w:rFonts w:eastAsia="Times New Roman" w:cstheme="minorHAnsi"/>
              </w:rPr>
            </w:pPr>
            <w:r>
              <w:rPr>
                <w:rFonts w:eastAsia="Times New Roman" w:cstheme="minorHAnsi"/>
              </w:rPr>
              <w:t>Blood Glucose</w:t>
            </w:r>
          </w:p>
        </w:tc>
        <w:tc>
          <w:tcPr>
            <w:tcW w:w="1080" w:type="dxa"/>
          </w:tcPr>
          <w:p w14:paraId="194B81EB" w14:textId="58D54F53" w:rsidR="00825003" w:rsidRDefault="00825003" w:rsidP="00FA6160">
            <w:pPr>
              <w:rPr>
                <w:rFonts w:eastAsia="Times New Roman" w:cstheme="minorHAnsi"/>
              </w:rPr>
            </w:pPr>
            <w:r>
              <w:rPr>
                <w:rFonts w:eastAsia="Times New Roman" w:cstheme="minorHAnsi"/>
              </w:rPr>
              <w:t>224</w:t>
            </w:r>
          </w:p>
        </w:tc>
        <w:tc>
          <w:tcPr>
            <w:tcW w:w="1170" w:type="dxa"/>
          </w:tcPr>
          <w:p w14:paraId="00C3CE98" w14:textId="0EC48094" w:rsidR="00825003" w:rsidRPr="0093524F" w:rsidRDefault="00825003" w:rsidP="00FA6160">
            <w:pPr>
              <w:rPr>
                <w:rFonts w:eastAsia="Times New Roman" w:cstheme="minorHAnsi"/>
              </w:rPr>
            </w:pPr>
            <w:r>
              <w:rPr>
                <w:rFonts w:eastAsia="Times New Roman" w:cstheme="minorHAnsi"/>
              </w:rPr>
              <w:t>Abnormal</w:t>
            </w:r>
          </w:p>
        </w:tc>
        <w:tc>
          <w:tcPr>
            <w:tcW w:w="3690" w:type="dxa"/>
          </w:tcPr>
          <w:p w14:paraId="0A0C6644" w14:textId="77777777" w:rsidR="00825003" w:rsidRDefault="00DD2E85" w:rsidP="00FA6160">
            <w:pPr>
              <w:rPr>
                <w:rFonts w:eastAsia="Times New Roman" w:cstheme="minorHAnsi"/>
              </w:rPr>
            </w:pPr>
            <w:r>
              <w:rPr>
                <w:rFonts w:eastAsia="Times New Roman" w:cstheme="minorHAnsi"/>
              </w:rPr>
              <w:t xml:space="preserve">Routine testing.  </w:t>
            </w:r>
            <w:proofErr w:type="gramStart"/>
            <w:r>
              <w:rPr>
                <w:rFonts w:eastAsia="Times New Roman" w:cstheme="minorHAnsi"/>
              </w:rPr>
              <w:t>Also</w:t>
            </w:r>
            <w:proofErr w:type="gramEnd"/>
            <w:r>
              <w:rPr>
                <w:rFonts w:eastAsia="Times New Roman" w:cstheme="minorHAnsi"/>
              </w:rPr>
              <w:t xml:space="preserve"> patient has T2DM diagnoses (recently diagnosed)</w:t>
            </w:r>
          </w:p>
          <w:p w14:paraId="72D955DD" w14:textId="6A84FDC2" w:rsidR="00143BAE" w:rsidRPr="0093524F" w:rsidRDefault="00143BAE" w:rsidP="00FA6160">
            <w:pPr>
              <w:rPr>
                <w:rFonts w:eastAsia="Times New Roman" w:cstheme="minorHAnsi"/>
              </w:rPr>
            </w:pPr>
            <w:r>
              <w:rPr>
                <w:rFonts w:eastAsia="Times New Roman" w:cstheme="minorHAnsi"/>
              </w:rPr>
              <w:t>(Harding, 2023)</w:t>
            </w:r>
          </w:p>
        </w:tc>
        <w:tc>
          <w:tcPr>
            <w:tcW w:w="3060" w:type="dxa"/>
          </w:tcPr>
          <w:p w14:paraId="16BFE56B" w14:textId="3FD64FB3" w:rsidR="00825003" w:rsidRDefault="00825003" w:rsidP="00FA6160">
            <w:pPr>
              <w:rPr>
                <w:rFonts w:eastAsia="Times New Roman" w:cstheme="minorHAnsi"/>
              </w:rPr>
            </w:pPr>
            <w:r>
              <w:rPr>
                <w:rFonts w:eastAsia="Times New Roman" w:cstheme="minorHAnsi"/>
              </w:rPr>
              <w:t xml:space="preserve">Uncontrolled blood sugar </w:t>
            </w:r>
            <w:r w:rsidR="003C7B33">
              <w:rPr>
                <w:rFonts w:eastAsia="Times New Roman" w:cstheme="minorHAnsi"/>
              </w:rPr>
              <w:t>increases risk for sepsis due to elevated glucose levels reduces the body’s immune response</w:t>
            </w:r>
          </w:p>
        </w:tc>
      </w:tr>
    </w:tbl>
    <w:p w14:paraId="6E8908B0" w14:textId="77777777" w:rsidR="00CB1A4E" w:rsidRDefault="00CB1A4E" w:rsidP="00CB1A4E">
      <w:pPr>
        <w:sectPr w:rsidR="00CB1A4E" w:rsidSect="00CB1A4E">
          <w:type w:val="continuous"/>
          <w:pgSz w:w="12240" w:h="15840"/>
          <w:pgMar w:top="1440" w:right="1080" w:bottom="1440" w:left="1080" w:header="720" w:footer="720" w:gutter="0"/>
          <w:cols w:space="720"/>
          <w:docGrid w:linePitch="360"/>
        </w:sectPr>
      </w:pPr>
    </w:p>
    <w:p w14:paraId="15C09978" w14:textId="5670DB6B" w:rsidR="00CB1A4E" w:rsidRDefault="00CB1A4E" w:rsidP="006A14EC">
      <w:pPr>
        <w:sectPr w:rsidR="00CB1A4E" w:rsidSect="00D33332">
          <w:type w:val="continuous"/>
          <w:pgSz w:w="15840" w:h="12240" w:orient="landscape"/>
          <w:pgMar w:top="1080" w:right="1440" w:bottom="1080" w:left="1440" w:header="720" w:footer="720" w:gutter="0"/>
          <w:cols w:space="720"/>
          <w:docGrid w:linePitch="360"/>
        </w:sectPr>
      </w:pPr>
    </w:p>
    <w:p w14:paraId="18CC432C" w14:textId="77777777" w:rsidR="00D33332" w:rsidRDefault="00D33332" w:rsidP="008B6272">
      <w:pPr>
        <w:pStyle w:val="Heading3"/>
      </w:pPr>
      <w:r>
        <w:lastRenderedPageBreak/>
        <w:t>Directions</w:t>
      </w:r>
    </w:p>
    <w:p w14:paraId="6F39B9C3" w14:textId="3815F013" w:rsidR="00D33332" w:rsidRPr="00A314F2" w:rsidRDefault="00D33332" w:rsidP="00D33332">
      <w:pPr>
        <w:rPr>
          <w:b/>
          <w:bCs/>
        </w:rPr>
      </w:pPr>
      <w:r>
        <w:t xml:space="preserve">Add the following below the associated heading in the table </w:t>
      </w:r>
      <w:r w:rsidR="00C372FF">
        <w:t xml:space="preserve">(Plan A) or concept map (Plan B) </w:t>
      </w:r>
      <w:r>
        <w:t>below:</w:t>
      </w:r>
      <w:r w:rsidR="00A314F2">
        <w:t xml:space="preserve"> </w:t>
      </w:r>
      <w:r w:rsidR="00A314F2">
        <w:rPr>
          <w:b/>
          <w:bCs/>
        </w:rPr>
        <w:t>***NOTE: There is an APA component to this assignment so please ensure you are including appropriate in text citations and a reference page using APA formatting.</w:t>
      </w:r>
    </w:p>
    <w:p w14:paraId="5323E172" w14:textId="77777777" w:rsidR="00EA358B" w:rsidRPr="00EA358B" w:rsidRDefault="00EA358B" w:rsidP="00EA358B">
      <w:pPr>
        <w:pStyle w:val="ListParagraph"/>
        <w:numPr>
          <w:ilvl w:val="0"/>
          <w:numId w:val="14"/>
        </w:numPr>
      </w:pPr>
      <w:r w:rsidRPr="00EA358B">
        <w:t>Recognize Cues/Assessment Data: </w:t>
      </w:r>
    </w:p>
    <w:p w14:paraId="228CA9DC" w14:textId="6678195A" w:rsidR="00EA358B" w:rsidRDefault="00EA358B" w:rsidP="00EA358B">
      <w:pPr>
        <w:pStyle w:val="ListParagraph"/>
        <w:numPr>
          <w:ilvl w:val="1"/>
          <w:numId w:val="14"/>
        </w:numPr>
      </w:pPr>
      <w:r w:rsidRPr="00EA358B">
        <w:t xml:space="preserve">Identify any abnormal </w:t>
      </w:r>
      <w:r w:rsidR="00DC5537">
        <w:t xml:space="preserve">pertinent physical </w:t>
      </w:r>
      <w:r w:rsidRPr="00EA358B">
        <w:t>assessment</w:t>
      </w:r>
      <w:r w:rsidR="00DC5537">
        <w:t xml:space="preserve"> findings</w:t>
      </w:r>
      <w:r w:rsidRPr="00EA358B">
        <w:t xml:space="preserve"> for </w:t>
      </w:r>
      <w:r w:rsidR="00DC5537">
        <w:t>your client</w:t>
      </w:r>
      <w:r w:rsidRPr="00EA358B">
        <w:t>. Include any signs and symptoms, subjective and objective data, labs, and diagnostics.</w:t>
      </w:r>
    </w:p>
    <w:p w14:paraId="4FDF7A46" w14:textId="62DBCB14" w:rsidR="00C0698A" w:rsidRDefault="00C0698A" w:rsidP="00EA358B">
      <w:pPr>
        <w:pStyle w:val="ListParagraph"/>
        <w:numPr>
          <w:ilvl w:val="1"/>
          <w:numId w:val="14"/>
        </w:numPr>
      </w:pPr>
      <w:r>
        <w:t xml:space="preserve">Identify any cultural aspects of the client. </w:t>
      </w:r>
    </w:p>
    <w:p w14:paraId="6D0B14AD" w14:textId="61375B6F" w:rsidR="00C0698A" w:rsidRPr="00C0698A" w:rsidRDefault="00C0698A" w:rsidP="00C0698A">
      <w:pPr>
        <w:pStyle w:val="ListParagraph"/>
        <w:numPr>
          <w:ilvl w:val="1"/>
          <w:numId w:val="14"/>
        </w:numPr>
      </w:pPr>
      <w:r>
        <w:t>Identify any psychosocial aspects of the client.</w:t>
      </w:r>
      <w:r w:rsidR="00F9585A">
        <w:t xml:space="preserve"> </w:t>
      </w:r>
    </w:p>
    <w:p w14:paraId="095D0F6D" w14:textId="43EF46DE" w:rsidR="00EA358B" w:rsidRPr="00EA358B" w:rsidRDefault="00EA358B" w:rsidP="00EA358B">
      <w:pPr>
        <w:pStyle w:val="ListParagraph"/>
        <w:numPr>
          <w:ilvl w:val="0"/>
          <w:numId w:val="14"/>
        </w:numPr>
      </w:pPr>
      <w:r w:rsidRPr="00EA358B">
        <w:t>Analyze Cues/Assessment Data</w:t>
      </w:r>
      <w:r w:rsidR="002C4B95">
        <w:t xml:space="preserve"> and Prioritizing problems/nursing diagnoses</w:t>
      </w:r>
      <w:r w:rsidRPr="00EA358B">
        <w:t>: </w:t>
      </w:r>
    </w:p>
    <w:p w14:paraId="52258C68" w14:textId="6BE1A64D" w:rsidR="00EA358B" w:rsidRPr="00EA358B" w:rsidRDefault="00EA358B" w:rsidP="00EA358B">
      <w:pPr>
        <w:pStyle w:val="ListParagraph"/>
        <w:numPr>
          <w:ilvl w:val="1"/>
          <w:numId w:val="14"/>
        </w:numPr>
      </w:pPr>
      <w:r w:rsidRPr="00EA358B">
        <w:t>Make the connection between the cues/assessments and the pathophysiology of the client’s condition and include the supporting cues/assessments. Using Lippincott Advisor</w:t>
      </w:r>
      <w:r w:rsidR="002C4B95">
        <w:t xml:space="preserve">, </w:t>
      </w:r>
      <w:r w:rsidRPr="00EA358B">
        <w:rPr>
          <w:rStyle w:val="Strong"/>
        </w:rPr>
        <w:t>identify 3 client problems/</w:t>
      </w:r>
      <w:r w:rsidR="002C4B95">
        <w:rPr>
          <w:rStyle w:val="Strong"/>
        </w:rPr>
        <w:t xml:space="preserve">nursing </w:t>
      </w:r>
      <w:r w:rsidRPr="00EA358B">
        <w:rPr>
          <w:rStyle w:val="Strong"/>
        </w:rPr>
        <w:t>diagnoses</w:t>
      </w:r>
      <w:r w:rsidRPr="00EA358B">
        <w:t xml:space="preserve">. </w:t>
      </w:r>
      <w:r w:rsidR="002C4B95">
        <w:rPr>
          <w:b/>
          <w:bCs/>
        </w:rPr>
        <w:t xml:space="preserve">***NOTE: This is not a medical diagnosis. </w:t>
      </w:r>
      <w:r w:rsidRPr="00EA358B">
        <w:t>For each problem/</w:t>
      </w:r>
      <w:r w:rsidR="002C4B95">
        <w:t xml:space="preserve">nursing </w:t>
      </w:r>
      <w:r w:rsidRPr="00EA358B">
        <w:t>diagnosis, include the pathophysiology and then include the supporting cues/assessments. </w:t>
      </w:r>
    </w:p>
    <w:p w14:paraId="05885A63" w14:textId="4AB5D148" w:rsidR="00EA358B" w:rsidRPr="00EA358B" w:rsidRDefault="00EA358B" w:rsidP="00EA358B">
      <w:pPr>
        <w:pStyle w:val="ListParagraph"/>
        <w:numPr>
          <w:ilvl w:val="2"/>
          <w:numId w:val="14"/>
        </w:numPr>
      </w:pPr>
      <w:r w:rsidRPr="00EA358B">
        <w:t xml:space="preserve">For example: Let’s say we have a client who has pulmonary edema r/t heart failure. The statement would be </w:t>
      </w:r>
      <w:r w:rsidRPr="00EA358B">
        <w:rPr>
          <w:rStyle w:val="Strong"/>
        </w:rPr>
        <w:t>Impaired/altered gas exchange related to [Pathophysiology that is applicable to this] as evidenced by [any signs and symptoms that you’re seeing that relate specifically to this problem, e.g., Sp02 of 87% and crackles)</w:t>
      </w:r>
      <w:r w:rsidRPr="00EA358B">
        <w:t>. </w:t>
      </w:r>
    </w:p>
    <w:p w14:paraId="5B002AF4" w14:textId="77777777" w:rsidR="00EA358B" w:rsidRPr="00EA358B" w:rsidRDefault="00EA358B" w:rsidP="00EA358B">
      <w:pPr>
        <w:pStyle w:val="ListParagraph"/>
        <w:numPr>
          <w:ilvl w:val="1"/>
          <w:numId w:val="14"/>
        </w:numPr>
      </w:pPr>
      <w:r w:rsidRPr="00EA358B">
        <w:t>If you are writing a “risk for” diagnosis, you will only include risk factors. There should be no evidence! </w:t>
      </w:r>
    </w:p>
    <w:p w14:paraId="307CCC2D" w14:textId="77777777" w:rsidR="00EA358B" w:rsidRPr="002C4B95" w:rsidRDefault="00EA358B" w:rsidP="00EA358B">
      <w:pPr>
        <w:pStyle w:val="ListParagraph"/>
        <w:numPr>
          <w:ilvl w:val="2"/>
          <w:numId w:val="14"/>
        </w:numPr>
        <w:rPr>
          <w:rStyle w:val="Strong"/>
          <w:b w:val="0"/>
          <w:bCs w:val="0"/>
        </w:rPr>
      </w:pPr>
      <w:r w:rsidRPr="00EA358B">
        <w:t xml:space="preserve">For example: </w:t>
      </w:r>
      <w:r w:rsidRPr="00EA358B">
        <w:rPr>
          <w:rStyle w:val="Strong"/>
        </w:rPr>
        <w:t>Risk for Falls related to [risk factors] such as weakness, reduced muscle coordination, etc.</w:t>
      </w:r>
    </w:p>
    <w:p w14:paraId="0376CC80" w14:textId="77777777" w:rsidR="002C4B95" w:rsidRDefault="002C4B95" w:rsidP="002C4B95">
      <w:pPr>
        <w:pStyle w:val="ListParagraph"/>
        <w:numPr>
          <w:ilvl w:val="1"/>
          <w:numId w:val="14"/>
        </w:numPr>
      </w:pPr>
      <w:r w:rsidRPr="00EA358B">
        <w:t>Write the top 3 Hypotheses/Client Problems/Nursing Diagnoses critical to positive patient outcome</w:t>
      </w:r>
      <w:r>
        <w:t xml:space="preserve">. List them in order by number (#1, #2, #3). </w:t>
      </w:r>
    </w:p>
    <w:p w14:paraId="0FD637C7" w14:textId="743DD73A" w:rsidR="00EA358B" w:rsidRPr="00EA358B" w:rsidRDefault="00EA358B" w:rsidP="002C4B95">
      <w:pPr>
        <w:pStyle w:val="ListParagraph"/>
        <w:numPr>
          <w:ilvl w:val="0"/>
          <w:numId w:val="14"/>
        </w:numPr>
      </w:pPr>
      <w:r w:rsidRPr="00EA358B">
        <w:t>Generating Solutions/Outcomes: </w:t>
      </w:r>
    </w:p>
    <w:p w14:paraId="28267934" w14:textId="77777777" w:rsidR="00EA358B" w:rsidRPr="00EA358B" w:rsidRDefault="00EA358B" w:rsidP="00EA358B">
      <w:pPr>
        <w:pStyle w:val="ListParagraph"/>
        <w:numPr>
          <w:ilvl w:val="1"/>
          <w:numId w:val="14"/>
        </w:numPr>
      </w:pPr>
      <w:r w:rsidRPr="00EA358B">
        <w:t>List 1 solution/outcome for the #1 Hypothesis/Client Problem/Nursing Diagnosis that will positively impact the patient and is appropriate. Your solution/outcome must be SMART (specific, measurable, achievable, realistic, and timed).</w:t>
      </w:r>
    </w:p>
    <w:p w14:paraId="6704844C" w14:textId="77777777" w:rsidR="00EA358B" w:rsidRPr="00EA358B" w:rsidRDefault="00EA358B" w:rsidP="00EA358B">
      <w:pPr>
        <w:pStyle w:val="ListParagraph"/>
        <w:numPr>
          <w:ilvl w:val="0"/>
          <w:numId w:val="14"/>
        </w:numPr>
      </w:pPr>
      <w:r w:rsidRPr="00EA358B">
        <w:t>Take Actions: </w:t>
      </w:r>
    </w:p>
    <w:p w14:paraId="33545198" w14:textId="77777777" w:rsidR="00EA358B" w:rsidRPr="00EA358B" w:rsidRDefault="00EA358B" w:rsidP="00EA358B">
      <w:pPr>
        <w:pStyle w:val="ListParagraph"/>
        <w:numPr>
          <w:ilvl w:val="1"/>
          <w:numId w:val="14"/>
        </w:numPr>
      </w:pPr>
      <w:r w:rsidRPr="00EA358B">
        <w:t>Relate one intervention in each of the categories (monitoring, action, and education) for the top priority problem. </w:t>
      </w:r>
    </w:p>
    <w:p w14:paraId="5AF013AB" w14:textId="77777777" w:rsidR="00217564" w:rsidRDefault="00EA358B" w:rsidP="00217564">
      <w:pPr>
        <w:pStyle w:val="ListParagraph"/>
        <w:numPr>
          <w:ilvl w:val="2"/>
          <w:numId w:val="14"/>
        </w:numPr>
        <w:rPr>
          <w:b/>
          <w:bCs/>
        </w:rPr>
      </w:pPr>
      <w:r w:rsidRPr="00217564">
        <w:rPr>
          <w:b/>
          <w:bCs/>
        </w:rPr>
        <w:t xml:space="preserve">Include </w:t>
      </w:r>
      <w:r w:rsidR="00CF2224" w:rsidRPr="00217564">
        <w:rPr>
          <w:b/>
          <w:bCs/>
        </w:rPr>
        <w:t xml:space="preserve">supporting evidence from a scholarly article </w:t>
      </w:r>
      <w:r w:rsidRPr="00217564">
        <w:rPr>
          <w:b/>
          <w:bCs/>
        </w:rPr>
        <w:t xml:space="preserve">for each intervention (with </w:t>
      </w:r>
      <w:r w:rsidR="008F6F3C" w:rsidRPr="00217564">
        <w:rPr>
          <w:b/>
          <w:bCs/>
        </w:rPr>
        <w:t xml:space="preserve">an in-text </w:t>
      </w:r>
      <w:r w:rsidRPr="00217564">
        <w:rPr>
          <w:b/>
          <w:bCs/>
        </w:rPr>
        <w:t>citation).</w:t>
      </w:r>
    </w:p>
    <w:p w14:paraId="5AD78CCF" w14:textId="569F8356" w:rsidR="00217564" w:rsidRPr="00C0698A" w:rsidRDefault="00217564" w:rsidP="00C0698A">
      <w:pPr>
        <w:pStyle w:val="ListParagraph"/>
        <w:numPr>
          <w:ilvl w:val="2"/>
          <w:numId w:val="14"/>
        </w:numPr>
        <w:rPr>
          <w:b/>
          <w:bCs/>
        </w:rPr>
      </w:pPr>
      <w:r w:rsidRPr="00217564">
        <w:rPr>
          <w:b/>
          <w:bCs/>
        </w:rPr>
        <w:t>For education, please use the “Ask Me</w:t>
      </w:r>
      <w:r w:rsidR="00C0698A">
        <w:rPr>
          <w:b/>
          <w:bCs/>
        </w:rPr>
        <w:t xml:space="preserve"> 3</w:t>
      </w:r>
      <w:r w:rsidRPr="00217564">
        <w:rPr>
          <w:b/>
          <w:bCs/>
        </w:rPr>
        <w:t xml:space="preserve">” </w:t>
      </w:r>
      <w:r w:rsidR="00C0698A">
        <w:rPr>
          <w:b/>
          <w:bCs/>
        </w:rPr>
        <w:t>pamphlet found in the course to engage your client.</w:t>
      </w:r>
    </w:p>
    <w:p w14:paraId="3B3DBA43" w14:textId="77777777" w:rsidR="00EA358B" w:rsidRPr="00EA358B" w:rsidRDefault="00EA358B" w:rsidP="00EA358B">
      <w:pPr>
        <w:pStyle w:val="ListParagraph"/>
        <w:numPr>
          <w:ilvl w:val="0"/>
          <w:numId w:val="14"/>
        </w:numPr>
      </w:pPr>
      <w:r w:rsidRPr="00EA358B">
        <w:t>Evaluating Solutions/Outcomes: </w:t>
      </w:r>
    </w:p>
    <w:p w14:paraId="21AEA7C6" w14:textId="241D69C8" w:rsidR="00D33332" w:rsidRPr="00EA358B" w:rsidRDefault="00EA358B" w:rsidP="00EA358B">
      <w:pPr>
        <w:pStyle w:val="ListParagraph"/>
        <w:numPr>
          <w:ilvl w:val="1"/>
          <w:numId w:val="14"/>
        </w:numPr>
        <w:rPr>
          <w:rFonts w:ascii="Courier New" w:hAnsi="Courier New" w:cs="Courier New"/>
        </w:rPr>
      </w:pPr>
      <w:r w:rsidRPr="00EA358B">
        <w:t xml:space="preserve">Describe how each of the 3 interventions were or were not effective (improved or did not improve the patient outcome) and why. Relate what should be done instead in the future. </w:t>
      </w:r>
      <w:r w:rsidR="00D33332">
        <w:br w:type="page"/>
      </w:r>
    </w:p>
    <w:p w14:paraId="3329A864" w14:textId="3EBC355E" w:rsidR="00B97090" w:rsidRDefault="00B97090" w:rsidP="00B97090">
      <w:pPr>
        <w:spacing w:after="0"/>
      </w:pPr>
      <w:r>
        <w:lastRenderedPageBreak/>
        <w:t>Student Name:</w:t>
      </w:r>
      <w:r w:rsidR="00A64E11">
        <w:t xml:space="preserve">  Mary Egan</w:t>
      </w:r>
    </w:p>
    <w:p w14:paraId="0FBBD010" w14:textId="5730E7C9" w:rsidR="00B97090" w:rsidRDefault="00B97090" w:rsidP="00B97090">
      <w:r>
        <w:t>Course Number and Name:</w:t>
      </w:r>
      <w:r w:rsidR="00A64E11">
        <w:t xml:space="preserve">   417 315</w:t>
      </w:r>
    </w:p>
    <w:p w14:paraId="1249760D" w14:textId="7F5DB491" w:rsidR="00D33332" w:rsidRPr="00D33332" w:rsidRDefault="008B6272" w:rsidP="00B97090">
      <w:pPr>
        <w:pStyle w:val="Heading3"/>
      </w:pPr>
      <w:r>
        <w:t>Plan A</w:t>
      </w:r>
    </w:p>
    <w:tbl>
      <w:tblPr>
        <w:tblStyle w:val="TableGrid"/>
        <w:tblW w:w="0" w:type="auto"/>
        <w:tblLook w:val="04A0" w:firstRow="1" w:lastRow="0" w:firstColumn="1" w:lastColumn="0" w:noHBand="0" w:noVBand="1"/>
        <w:tblDescription w:val="Plan A Table"/>
      </w:tblPr>
      <w:tblGrid>
        <w:gridCol w:w="1839"/>
        <w:gridCol w:w="1917"/>
        <w:gridCol w:w="2103"/>
        <w:gridCol w:w="2076"/>
        <w:gridCol w:w="2125"/>
      </w:tblGrid>
      <w:tr w:rsidR="00677D7A" w14:paraId="0D592928" w14:textId="77777777" w:rsidTr="00A314F2">
        <w:trPr>
          <w:cantSplit/>
          <w:tblHeader/>
        </w:trPr>
        <w:tc>
          <w:tcPr>
            <w:tcW w:w="2155" w:type="dxa"/>
            <w:tcBorders>
              <w:top w:val="single" w:sz="8" w:space="0" w:color="FFFFFF" w:themeColor="background1"/>
              <w:left w:val="single" w:sz="8" w:space="0" w:color="FFFFFF" w:themeColor="background1"/>
              <w:bottom w:val="single" w:sz="2" w:space="0" w:color="auto"/>
              <w:right w:val="single" w:sz="8" w:space="0" w:color="FFFFFF" w:themeColor="background1"/>
            </w:tcBorders>
            <w:shd w:val="clear" w:color="auto" w:fill="1F3864" w:themeFill="accent5" w:themeFillShade="80"/>
          </w:tcPr>
          <w:p w14:paraId="274287F2" w14:textId="77777777" w:rsidR="00A314F2" w:rsidRPr="00D33332" w:rsidRDefault="00A314F2" w:rsidP="003C2836">
            <w:pPr>
              <w:rPr>
                <w:b/>
                <w:color w:val="FFFFFF" w:themeColor="background1"/>
              </w:rPr>
            </w:pPr>
            <w:r w:rsidRPr="00D33332">
              <w:rPr>
                <w:b/>
                <w:color w:val="FFFFFF" w:themeColor="background1"/>
              </w:rPr>
              <w:t>Recognize Cues/Assessment Data</w:t>
            </w:r>
          </w:p>
        </w:tc>
        <w:tc>
          <w:tcPr>
            <w:tcW w:w="2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3864" w:themeFill="accent5" w:themeFillShade="80"/>
          </w:tcPr>
          <w:p w14:paraId="3E6623BC" w14:textId="2CE8B822" w:rsidR="00A314F2" w:rsidRPr="00D33332" w:rsidRDefault="00A314F2" w:rsidP="003C2836">
            <w:pPr>
              <w:rPr>
                <w:b/>
                <w:color w:val="FFFFFF" w:themeColor="background1"/>
              </w:rPr>
            </w:pPr>
            <w:r w:rsidRPr="00D33332">
              <w:rPr>
                <w:b/>
                <w:color w:val="FFFFFF" w:themeColor="background1"/>
              </w:rPr>
              <w:t>Analyze Cues/Assessment Data</w:t>
            </w:r>
            <w:r>
              <w:rPr>
                <w:b/>
                <w:color w:val="FFFFFF" w:themeColor="background1"/>
              </w:rPr>
              <w:t xml:space="preserve"> &amp; Prioritizing Hypotheses/client problems/nursing diagnoses</w:t>
            </w:r>
          </w:p>
        </w:tc>
        <w:tc>
          <w:tcPr>
            <w:tcW w:w="2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3864" w:themeFill="accent5" w:themeFillShade="80"/>
          </w:tcPr>
          <w:p w14:paraId="0A301686" w14:textId="77777777" w:rsidR="00A314F2" w:rsidRDefault="00A314F2" w:rsidP="003C2836">
            <w:pPr>
              <w:rPr>
                <w:b/>
                <w:color w:val="FFFFFF" w:themeColor="background1"/>
              </w:rPr>
            </w:pPr>
            <w:r w:rsidRPr="00D33332">
              <w:rPr>
                <w:b/>
                <w:color w:val="FFFFFF" w:themeColor="background1"/>
              </w:rPr>
              <w:t>Generating Solutions/Outcomes</w:t>
            </w:r>
          </w:p>
          <w:p w14:paraId="10B252BD" w14:textId="2D21D8B2" w:rsidR="00A314F2" w:rsidRPr="00D56E33" w:rsidRDefault="00A314F2" w:rsidP="003C2836">
            <w:pPr>
              <w:rPr>
                <w:color w:val="FFFFFF" w:themeColor="background1"/>
              </w:rPr>
            </w:pPr>
            <w:r w:rsidRPr="00D56E33">
              <w:rPr>
                <w:color w:val="FFFFFF" w:themeColor="background1"/>
                <w:sz w:val="20"/>
              </w:rPr>
              <w:t>(</w:t>
            </w:r>
            <w:bookmarkStart w:id="0" w:name="_Hlk121903693"/>
            <w:r w:rsidRPr="00D56E33">
              <w:rPr>
                <w:color w:val="FFFFFF" w:themeColor="background1"/>
                <w:sz w:val="20"/>
              </w:rPr>
              <w:t>One solution/outcome for the primary hypothesis)</w:t>
            </w:r>
            <w:bookmarkEnd w:id="0"/>
          </w:p>
        </w:tc>
        <w:tc>
          <w:tcPr>
            <w:tcW w:w="27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3864" w:themeFill="accent5" w:themeFillShade="80"/>
          </w:tcPr>
          <w:p w14:paraId="241CD1F0" w14:textId="77777777" w:rsidR="00A314F2" w:rsidRPr="00D33332" w:rsidRDefault="00A314F2" w:rsidP="00D33332">
            <w:pPr>
              <w:rPr>
                <w:b/>
                <w:color w:val="FFFFFF" w:themeColor="background1"/>
              </w:rPr>
            </w:pPr>
            <w:r w:rsidRPr="00D33332">
              <w:rPr>
                <w:b/>
                <w:color w:val="FFFFFF" w:themeColor="background1"/>
              </w:rPr>
              <w:t>Take Actions</w:t>
            </w:r>
          </w:p>
          <w:p w14:paraId="01BF6BA6" w14:textId="77777777" w:rsidR="008F6F3C" w:rsidRPr="008F6F3C" w:rsidRDefault="008F6F3C" w:rsidP="008F6F3C">
            <w:pPr>
              <w:rPr>
                <w:b/>
                <w:bCs/>
              </w:rPr>
            </w:pPr>
            <w:r w:rsidRPr="008F6F3C">
              <w:rPr>
                <w:b/>
                <w:bCs/>
              </w:rPr>
              <w:t>Include an evidence-based rationale for each intervention (with an in-text citation).</w:t>
            </w:r>
          </w:p>
          <w:p w14:paraId="00AE9D49" w14:textId="77777777" w:rsidR="00A314F2" w:rsidRPr="00D33332" w:rsidRDefault="00A314F2" w:rsidP="00D33332">
            <w:pPr>
              <w:rPr>
                <w:b/>
                <w:color w:val="FFFFFF" w:themeColor="background1"/>
              </w:rPr>
            </w:pPr>
          </w:p>
        </w:tc>
        <w:tc>
          <w:tcPr>
            <w:tcW w:w="27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3864" w:themeFill="accent5" w:themeFillShade="80"/>
          </w:tcPr>
          <w:p w14:paraId="45D4BCBB" w14:textId="77777777" w:rsidR="00A314F2" w:rsidRPr="00D33332" w:rsidRDefault="00A314F2" w:rsidP="003C2836">
            <w:pPr>
              <w:rPr>
                <w:b/>
                <w:color w:val="FFFFFF" w:themeColor="background1"/>
              </w:rPr>
            </w:pPr>
            <w:r w:rsidRPr="00D33332">
              <w:rPr>
                <w:b/>
                <w:color w:val="FFFFFF" w:themeColor="background1"/>
              </w:rPr>
              <w:t>Evaluating Solutions/Outcomes</w:t>
            </w:r>
          </w:p>
        </w:tc>
      </w:tr>
      <w:tr w:rsidR="007329CF" w14:paraId="5C0511F8" w14:textId="77777777" w:rsidTr="00A314F2">
        <w:trPr>
          <w:cantSplit/>
          <w:trHeight w:val="2304"/>
        </w:trPr>
        <w:tc>
          <w:tcPr>
            <w:tcW w:w="2155" w:type="dxa"/>
            <w:tcBorders>
              <w:top w:val="single" w:sz="2" w:space="0" w:color="auto"/>
              <w:left w:val="single" w:sz="2" w:space="0" w:color="auto"/>
              <w:bottom w:val="single" w:sz="4" w:space="0" w:color="auto"/>
              <w:right w:val="single" w:sz="2" w:space="0" w:color="auto"/>
            </w:tcBorders>
          </w:tcPr>
          <w:p w14:paraId="42BB49E8" w14:textId="77777777" w:rsidR="00A314F2" w:rsidRDefault="00A314F2" w:rsidP="003C2836">
            <w:r w:rsidRPr="00D56E33">
              <w:t xml:space="preserve">Signs </w:t>
            </w:r>
            <w:r>
              <w:t>&amp;</w:t>
            </w:r>
            <w:r w:rsidRPr="00D56E33">
              <w:t xml:space="preserve"> Symptoms </w:t>
            </w:r>
          </w:p>
          <w:p w14:paraId="5D71F049" w14:textId="03357C5B" w:rsidR="00A64E11" w:rsidRDefault="00A64E11" w:rsidP="003C2836">
            <w:r>
              <w:t>Fever</w:t>
            </w:r>
            <w:r w:rsidR="00F42A78">
              <w:t xml:space="preserve"> for 4 days </w:t>
            </w:r>
          </w:p>
          <w:p w14:paraId="11768694" w14:textId="465BD119" w:rsidR="00A64E11" w:rsidRDefault="00A64E11" w:rsidP="003C2836">
            <w:r>
              <w:t>Elevated HR</w:t>
            </w:r>
            <w:r w:rsidR="00677D7A">
              <w:t>, noted at 103.1 in ED.</w:t>
            </w:r>
          </w:p>
          <w:p w14:paraId="34F565E4" w14:textId="54D63CA6" w:rsidR="006A14EC" w:rsidRDefault="00A64E11" w:rsidP="003C2836">
            <w:r>
              <w:t>Purulent drainage</w:t>
            </w:r>
            <w:r w:rsidR="00F42A78">
              <w:t xml:space="preserve"> </w:t>
            </w:r>
            <w:r w:rsidR="006A14EC">
              <w:t xml:space="preserve">from </w:t>
            </w:r>
            <w:r w:rsidR="00F42A78">
              <w:t>open wound</w:t>
            </w:r>
            <w:r w:rsidR="006A14EC">
              <w:t>.</w:t>
            </w:r>
            <w:r w:rsidR="00677D7A">
              <w:t xml:space="preserve">   Recent surgery.  </w:t>
            </w:r>
          </w:p>
          <w:p w14:paraId="145E3385" w14:textId="6D7CB158" w:rsidR="00CB7DE6" w:rsidRDefault="006A14EC" w:rsidP="003C2836">
            <w:r>
              <w:t>Fatigue and weakness</w:t>
            </w:r>
            <w:r w:rsidR="00CB7DE6">
              <w:t>, as well as pain in leg and at site of abscess. Recent T2DM diagnosis with AIC of 11</w:t>
            </w:r>
            <w:r w:rsidR="003D566A">
              <w:t xml:space="preserve">.  </w:t>
            </w:r>
          </w:p>
          <w:p w14:paraId="441CC18D" w14:textId="09D88BD8" w:rsidR="00A64E11" w:rsidRDefault="006A14EC" w:rsidP="003C2836">
            <w:r>
              <w:t xml:space="preserve"> </w:t>
            </w:r>
          </w:p>
          <w:p w14:paraId="308C8C98" w14:textId="1DFB24A2" w:rsidR="00A64E11" w:rsidRDefault="00A64E11" w:rsidP="003C2836"/>
        </w:tc>
        <w:tc>
          <w:tcPr>
            <w:tcW w:w="2515" w:type="dxa"/>
            <w:tcBorders>
              <w:top w:val="single" w:sz="8" w:space="0" w:color="FFFFFF" w:themeColor="background1"/>
              <w:left w:val="single" w:sz="2" w:space="0" w:color="auto"/>
            </w:tcBorders>
          </w:tcPr>
          <w:p w14:paraId="1AFA6B61" w14:textId="0E321817" w:rsidR="00A314F2" w:rsidRDefault="00A314F2" w:rsidP="003C2836">
            <w:r>
              <w:t>1.</w:t>
            </w:r>
            <w:r w:rsidR="00A64E11">
              <w:t xml:space="preserve">  Nursing </w:t>
            </w:r>
            <w:proofErr w:type="gramStart"/>
            <w:r w:rsidR="00A64E11">
              <w:t>Diagnosis :</w:t>
            </w:r>
            <w:proofErr w:type="gramEnd"/>
            <w:r w:rsidR="00A64E11">
              <w:t xml:space="preserve"> </w:t>
            </w:r>
            <w:r w:rsidR="00150AFE">
              <w:t xml:space="preserve">Risk for </w:t>
            </w:r>
            <w:r w:rsidR="003D566A">
              <w:t xml:space="preserve">septic </w:t>
            </w:r>
            <w:r w:rsidR="00401BF1">
              <w:t>s</w:t>
            </w:r>
            <w:r w:rsidR="00CB7DE6">
              <w:t>hock</w:t>
            </w:r>
            <w:r w:rsidR="00150AFE">
              <w:t xml:space="preserve"> related to impaired immune</w:t>
            </w:r>
            <w:r w:rsidR="007329CF">
              <w:t xml:space="preserve"> </w:t>
            </w:r>
            <w:proofErr w:type="gramStart"/>
            <w:r w:rsidR="007329CF">
              <w:t xml:space="preserve">response, </w:t>
            </w:r>
            <w:r w:rsidR="003D566A">
              <w:t xml:space="preserve"> </w:t>
            </w:r>
            <w:r w:rsidR="003D566A" w:rsidRPr="003D566A">
              <w:t>persistent</w:t>
            </w:r>
            <w:proofErr w:type="gramEnd"/>
            <w:r w:rsidR="003D566A" w:rsidRPr="003D566A">
              <w:t xml:space="preserve"> infection, and delayed wound healing.</w:t>
            </w:r>
            <w:r w:rsidR="003D566A" w:rsidRPr="003D566A">
              <w:t xml:space="preserve"> </w:t>
            </w:r>
          </w:p>
        </w:tc>
        <w:tc>
          <w:tcPr>
            <w:tcW w:w="2340" w:type="dxa"/>
            <w:tcBorders>
              <w:top w:val="single" w:sz="8" w:space="0" w:color="FFFFFF" w:themeColor="background1"/>
            </w:tcBorders>
          </w:tcPr>
          <w:p w14:paraId="631C3274" w14:textId="15D31487" w:rsidR="00A314F2" w:rsidRDefault="003D566A" w:rsidP="003C2836">
            <w:r w:rsidRPr="003D566A">
              <w:t>The patient will maintain stable vital signs (MAP ≥ 65, HR &lt; 100, temp &lt; 100.4°F), normal mental status</w:t>
            </w:r>
            <w:r w:rsidR="00677D7A">
              <w:t xml:space="preserve"> without notable changes</w:t>
            </w:r>
            <w:r w:rsidRPr="003D566A">
              <w:t>, and urine output ≥ 30 mL/</w:t>
            </w:r>
            <w:proofErr w:type="spellStart"/>
            <w:r w:rsidRPr="003D566A">
              <w:t>hr</w:t>
            </w:r>
            <w:proofErr w:type="spellEnd"/>
            <w:r w:rsidRPr="003D566A">
              <w:t xml:space="preserve"> over the next 24 hours</w:t>
            </w:r>
            <w:r w:rsidR="00677D7A">
              <w:t xml:space="preserve"> and no escalation to critical care will be necessitated. </w:t>
            </w:r>
          </w:p>
        </w:tc>
        <w:tc>
          <w:tcPr>
            <w:tcW w:w="2790" w:type="dxa"/>
            <w:tcBorders>
              <w:top w:val="single" w:sz="8" w:space="0" w:color="FFFFFF" w:themeColor="background1"/>
            </w:tcBorders>
          </w:tcPr>
          <w:p w14:paraId="53AD7D0C" w14:textId="0EA44124" w:rsidR="003D566A" w:rsidRPr="003D566A" w:rsidRDefault="003D566A" w:rsidP="003D566A">
            <w:r w:rsidRPr="003D566A">
              <w:t>Monitor temperature, heart rate, respiratory rate, MAP, and mental status every 4 hours. Track I/O and lactate levels.</w:t>
            </w:r>
            <w:r>
              <w:t xml:space="preserve">  </w:t>
            </w:r>
            <w:r w:rsidRPr="003D566A">
              <w:rPr>
                <w:i/>
                <w:iCs/>
              </w:rPr>
              <w:t>Rationale:</w:t>
            </w:r>
            <w:r w:rsidRPr="003D566A">
              <w:t> Early identification of subtle signs of sepsis progression (e.g., altered LOC, drop in BP) improves outcomes (Rhodes et al., 2017).</w:t>
            </w:r>
          </w:p>
          <w:p w14:paraId="4BC8750A" w14:textId="7049F1F9" w:rsidR="00A314F2" w:rsidRDefault="00A314F2" w:rsidP="003D566A"/>
        </w:tc>
        <w:tc>
          <w:tcPr>
            <w:tcW w:w="2790" w:type="dxa"/>
            <w:tcBorders>
              <w:top w:val="single" w:sz="8" w:space="0" w:color="FFFFFF" w:themeColor="background1"/>
            </w:tcBorders>
          </w:tcPr>
          <w:p w14:paraId="643EE5DC" w14:textId="1D93D364" w:rsidR="00A314F2" w:rsidRDefault="00677D7A" w:rsidP="006A14EC">
            <w:r w:rsidRPr="00677D7A">
              <w:t>The patient’s vital signs remained within stable parameters during the shift: MAP stayed above 65 mmHg, heart rate stayed under 100 bpm, and no signs of confusion or acute mental status changes</w:t>
            </w:r>
            <w:r>
              <w:t>.</w:t>
            </w:r>
            <w:r w:rsidRPr="00677D7A">
              <w:t xml:space="preserve"> </w:t>
            </w:r>
            <w:r>
              <w:t xml:space="preserve"> </w:t>
            </w:r>
            <w:proofErr w:type="gramStart"/>
            <w:r w:rsidRPr="00677D7A">
              <w:t>Urine</w:t>
            </w:r>
            <w:proofErr w:type="gramEnd"/>
            <w:r w:rsidRPr="00677D7A">
              <w:t xml:space="preserve"> output was consistently above 30 mL/hr. No escalation to critical care was needed, indicating the intervention was effective in early detection and prevention of worsening shock.</w:t>
            </w:r>
          </w:p>
        </w:tc>
      </w:tr>
      <w:tr w:rsidR="00677D7A" w14:paraId="1421B3CB" w14:textId="77777777" w:rsidTr="00A314F2">
        <w:trPr>
          <w:cantSplit/>
          <w:trHeight w:val="2304"/>
        </w:trPr>
        <w:tc>
          <w:tcPr>
            <w:tcW w:w="2155" w:type="dxa"/>
            <w:tcBorders>
              <w:top w:val="single" w:sz="4" w:space="0" w:color="auto"/>
              <w:left w:val="single" w:sz="2" w:space="0" w:color="auto"/>
              <w:bottom w:val="single" w:sz="4" w:space="0" w:color="auto"/>
              <w:right w:val="single" w:sz="2" w:space="0" w:color="auto"/>
            </w:tcBorders>
          </w:tcPr>
          <w:p w14:paraId="46E9DE70" w14:textId="77777777" w:rsidR="00A314F2" w:rsidRDefault="00A314F2" w:rsidP="003C2836">
            <w:r w:rsidRPr="00D56E33">
              <w:lastRenderedPageBreak/>
              <w:t xml:space="preserve">Subjective </w:t>
            </w:r>
            <w:r>
              <w:t>&amp;</w:t>
            </w:r>
            <w:r w:rsidRPr="00D56E33">
              <w:t xml:space="preserve"> Objective Data</w:t>
            </w:r>
          </w:p>
          <w:p w14:paraId="531FF898" w14:textId="77777777" w:rsidR="00CB7DE6" w:rsidRDefault="00CB7DE6" w:rsidP="003C2836"/>
          <w:p w14:paraId="498F4A42" w14:textId="4C6A7B2A" w:rsidR="00CB7DE6" w:rsidRDefault="00CB7DE6" w:rsidP="003C2836">
            <w:r>
              <w:t xml:space="preserve">Patient has newly diagnosed T2DM with an AIC of 11, no regular primary care listed.  Severe abscess and infection </w:t>
            </w:r>
            <w:r w:rsidR="004A3631">
              <w:t xml:space="preserve">when presented to ED.  </w:t>
            </w:r>
            <w:r>
              <w:t>elevated BG, indications of poor nutrition (low protein, low albumin, low Mg and CA)</w:t>
            </w:r>
            <w:r w:rsidR="004A3631">
              <w:t xml:space="preserve">. Patient is devout, appreciates prayer and </w:t>
            </w:r>
            <w:r w:rsidR="000D746C">
              <w:t>family and friend visit frequently.</w:t>
            </w:r>
          </w:p>
        </w:tc>
        <w:tc>
          <w:tcPr>
            <w:tcW w:w="2515" w:type="dxa"/>
            <w:tcBorders>
              <w:left w:val="single" w:sz="2" w:space="0" w:color="auto"/>
            </w:tcBorders>
          </w:tcPr>
          <w:p w14:paraId="1920A6C9" w14:textId="2C9A14F5" w:rsidR="00A314F2" w:rsidRDefault="00A314F2" w:rsidP="003C2836">
            <w:r>
              <w:t>2.</w:t>
            </w:r>
            <w:r w:rsidR="00F42A78">
              <w:t xml:space="preserve"> </w:t>
            </w:r>
            <w:r w:rsidR="00150AFE">
              <w:t xml:space="preserve">Impaired tissue integrity related to infection and delayed wound healing as evidence by open draining wound, swelling, and pain.  </w:t>
            </w:r>
          </w:p>
        </w:tc>
        <w:tc>
          <w:tcPr>
            <w:tcW w:w="2340" w:type="dxa"/>
            <w:shd w:val="clear" w:color="auto" w:fill="D9D9D9" w:themeFill="background1" w:themeFillShade="D9"/>
          </w:tcPr>
          <w:p w14:paraId="07F2CCCF" w14:textId="77777777" w:rsidR="00A314F2" w:rsidRDefault="00A314F2" w:rsidP="003C2836"/>
        </w:tc>
        <w:tc>
          <w:tcPr>
            <w:tcW w:w="2790" w:type="dxa"/>
          </w:tcPr>
          <w:p w14:paraId="7226E172" w14:textId="163B4D8B" w:rsidR="00677D7A" w:rsidRPr="00677D7A" w:rsidRDefault="00677D7A" w:rsidP="00677D7A">
            <w:r w:rsidRPr="00677D7A">
              <w:t>Administer IV fluids and antibiotics promptly as ordered; re-evaluate antibiotic regimen based on culture results.</w:t>
            </w:r>
            <w:r>
              <w:t xml:space="preserve"> </w:t>
            </w:r>
            <w:r w:rsidRPr="00677D7A">
              <w:rPr>
                <w:i/>
                <w:iCs/>
              </w:rPr>
              <w:t>Rationale:</w:t>
            </w:r>
            <w:r w:rsidRPr="00677D7A">
              <w:t xml:space="preserve"> Delayed antibiotic administration is associated with increased mortality in </w:t>
            </w:r>
            <w:r w:rsidR="00401BF1">
              <w:t>infection management and increases risk for s</w:t>
            </w:r>
            <w:r w:rsidRPr="00677D7A">
              <w:t>ep</w:t>
            </w:r>
            <w:r w:rsidR="00401BF1">
              <w:t>tic shock.</w:t>
            </w:r>
            <w:r w:rsidRPr="00677D7A">
              <w:t xml:space="preserve"> (Mahapatra</w:t>
            </w:r>
            <w:r>
              <w:t>,</w:t>
            </w:r>
            <w:r w:rsidRPr="00677D7A">
              <w:t xml:space="preserve"> 2023).</w:t>
            </w:r>
          </w:p>
          <w:p w14:paraId="08A7C58B" w14:textId="58A3CC19" w:rsidR="00BD57A6" w:rsidRDefault="00BD57A6" w:rsidP="00F42A78"/>
        </w:tc>
        <w:tc>
          <w:tcPr>
            <w:tcW w:w="2790" w:type="dxa"/>
          </w:tcPr>
          <w:p w14:paraId="27521CA5" w14:textId="53F69D3C" w:rsidR="00A314F2" w:rsidRDefault="00677D7A" w:rsidP="003C2836">
            <w:r w:rsidRPr="00677D7A">
              <w:t>The patient received a full course of IV antibiotics and fluid boluses per protocol without delay. Repeat labs showed decreased WBC and improvement in inflammatory markers</w:t>
            </w:r>
            <w:r>
              <w:t xml:space="preserve">.  </w:t>
            </w:r>
            <w:r w:rsidRPr="00677D7A">
              <w:t xml:space="preserve">No new signs of systemic decompensation </w:t>
            </w:r>
            <w:r>
              <w:t xml:space="preserve">or worsening infection </w:t>
            </w:r>
            <w:r w:rsidRPr="00677D7A">
              <w:t xml:space="preserve">occurred. </w:t>
            </w:r>
          </w:p>
        </w:tc>
      </w:tr>
      <w:tr w:rsidR="00677D7A" w14:paraId="73B8647B" w14:textId="77777777" w:rsidTr="00A314F2">
        <w:trPr>
          <w:cantSplit/>
          <w:trHeight w:val="2304"/>
        </w:trPr>
        <w:tc>
          <w:tcPr>
            <w:tcW w:w="2155" w:type="dxa"/>
            <w:tcBorders>
              <w:top w:val="single" w:sz="4" w:space="0" w:color="auto"/>
              <w:left w:val="single" w:sz="2" w:space="0" w:color="auto"/>
              <w:bottom w:val="single" w:sz="4" w:space="0" w:color="auto"/>
              <w:right w:val="single" w:sz="2" w:space="0" w:color="auto"/>
            </w:tcBorders>
          </w:tcPr>
          <w:p w14:paraId="6470B761" w14:textId="77777777" w:rsidR="00A314F2" w:rsidRDefault="00A314F2" w:rsidP="003C2836">
            <w:r w:rsidRPr="00D56E33">
              <w:lastRenderedPageBreak/>
              <w:t xml:space="preserve">Labs </w:t>
            </w:r>
            <w:r>
              <w:t>&amp;</w:t>
            </w:r>
            <w:r w:rsidRPr="00D56E33">
              <w:t xml:space="preserve"> Diagnostics</w:t>
            </w:r>
          </w:p>
          <w:p w14:paraId="22E7A493" w14:textId="77777777" w:rsidR="00F42A78" w:rsidRDefault="00F42A78" w:rsidP="003C2836"/>
          <w:p w14:paraId="68EF2DE3" w14:textId="3E43FE10" w:rsidR="00F42A78" w:rsidRDefault="007329CF" w:rsidP="003C2836">
            <w:r>
              <w:t xml:space="preserve">Elevated </w:t>
            </w:r>
            <w:proofErr w:type="gramStart"/>
            <w:r w:rsidR="00F42A78">
              <w:t>Neutrophils</w:t>
            </w:r>
            <w:r>
              <w:t xml:space="preserve"> </w:t>
            </w:r>
            <w:r w:rsidR="00F42A78">
              <w:t xml:space="preserve"> </w:t>
            </w:r>
            <w:r>
              <w:t>(</w:t>
            </w:r>
            <w:proofErr w:type="gramEnd"/>
            <w:r>
              <w:t>88%)</w:t>
            </w:r>
            <w:r w:rsidR="004A3631">
              <w:t xml:space="preserve">, </w:t>
            </w:r>
            <w:r w:rsidR="00677D7A">
              <w:t xml:space="preserve">highly elevated </w:t>
            </w:r>
            <w:r w:rsidR="00F42A78">
              <w:t>CRP</w:t>
            </w:r>
            <w:r w:rsidR="00677D7A">
              <w:t xml:space="preserve"> at </w:t>
            </w:r>
            <w:r w:rsidR="004A3631">
              <w:t>235 elevated</w:t>
            </w:r>
            <w:r w:rsidR="003D566A">
              <w:t xml:space="preserve"> </w:t>
            </w:r>
            <w:r w:rsidR="00F42A78">
              <w:t>WBC</w:t>
            </w:r>
            <w:r>
              <w:t>, currently 23)</w:t>
            </w:r>
            <w:r w:rsidR="00401BF1">
              <w:t xml:space="preserve">.  Lactate normal currently.  Presence of toxic granulation, immature </w:t>
            </w:r>
            <w:r w:rsidR="004A3631">
              <w:t>granulocytes</w:t>
            </w:r>
            <w:r w:rsidR="00401BF1">
              <w:t>.</w:t>
            </w:r>
            <w:r w:rsidR="000D746C">
              <w:t xml:space="preserve">  P</w:t>
            </w:r>
            <w:r w:rsidR="000D746C" w:rsidRPr="000D746C">
              <w:t>ostprandial</w:t>
            </w:r>
            <w:r w:rsidR="000D746C" w:rsidRPr="000D746C">
              <w:t xml:space="preserve"> </w:t>
            </w:r>
            <w:r w:rsidR="000D746C">
              <w:t>BG of 224 currently.  Low Calcium and Magnesium.  Hgb, Hct indicate mild anemia</w:t>
            </w:r>
          </w:p>
          <w:p w14:paraId="6BFB4205" w14:textId="4B0C02AD" w:rsidR="00677D7A" w:rsidRDefault="00677D7A" w:rsidP="007329CF"/>
        </w:tc>
        <w:tc>
          <w:tcPr>
            <w:tcW w:w="2515" w:type="dxa"/>
            <w:tcBorders>
              <w:left w:val="single" w:sz="2" w:space="0" w:color="auto"/>
            </w:tcBorders>
          </w:tcPr>
          <w:p w14:paraId="21209A67" w14:textId="6457691F" w:rsidR="00A314F2" w:rsidRDefault="00A314F2" w:rsidP="00150AFE">
            <w:r>
              <w:t>3</w:t>
            </w:r>
            <w:r w:rsidR="004A3631">
              <w:t xml:space="preserve">. Nursing Diagnosis: </w:t>
            </w:r>
            <w:r w:rsidR="004A3631" w:rsidRPr="004A3631">
              <w:t xml:space="preserve">Deficient Knowledge related to new diagnosis of type 2 diabetes mellitus, acute infection, and </w:t>
            </w:r>
            <w:r w:rsidR="004A3631">
              <w:t>complex care needs</w:t>
            </w:r>
            <w:r w:rsidR="004A3631" w:rsidRPr="004A3631">
              <w:t xml:space="preserve">, as evidenced by elevated A1C (11%), random glucose of 224 mg/dL, </w:t>
            </w:r>
            <w:r w:rsidR="000D746C">
              <w:t xml:space="preserve">signs of poor nutrition and </w:t>
            </w:r>
            <w:r w:rsidR="004A3631" w:rsidRPr="004A3631">
              <w:t>delayed presentation to care with severe infection.</w:t>
            </w:r>
          </w:p>
        </w:tc>
        <w:tc>
          <w:tcPr>
            <w:tcW w:w="2340" w:type="dxa"/>
            <w:shd w:val="clear" w:color="auto" w:fill="D9D9D9" w:themeFill="background1" w:themeFillShade="D9"/>
          </w:tcPr>
          <w:p w14:paraId="1C879DD0" w14:textId="77777777" w:rsidR="00A314F2" w:rsidRDefault="00A314F2" w:rsidP="003C2836"/>
        </w:tc>
        <w:tc>
          <w:tcPr>
            <w:tcW w:w="2790" w:type="dxa"/>
          </w:tcPr>
          <w:p w14:paraId="06B3D7A1" w14:textId="77777777" w:rsidR="008F4F13" w:rsidRDefault="00A314F2" w:rsidP="008F4F13">
            <w:pPr>
              <w:rPr>
                <w:b/>
                <w:bCs/>
              </w:rPr>
            </w:pPr>
            <w:r>
              <w:t>Education</w:t>
            </w:r>
            <w:r w:rsidR="008F4F13">
              <w:t xml:space="preserve"> </w:t>
            </w:r>
            <w:r w:rsidR="008F4F13" w:rsidRPr="007C62F0">
              <w:rPr>
                <w:b/>
                <w:bCs/>
              </w:rPr>
              <w:t>Include supporting evidence from a scholarly article for each intervention (with an in-text citation).</w:t>
            </w:r>
          </w:p>
          <w:p w14:paraId="77F7B999" w14:textId="3C63E1C7" w:rsidR="008F4F13" w:rsidRDefault="008F4F13" w:rsidP="008F4F13">
            <w:pPr>
              <w:rPr>
                <w:b/>
                <w:bCs/>
              </w:rPr>
            </w:pPr>
            <w:r>
              <w:rPr>
                <w:b/>
                <w:bCs/>
              </w:rPr>
              <w:t>U</w:t>
            </w:r>
            <w:r w:rsidRPr="007C62F0">
              <w:rPr>
                <w:b/>
                <w:bCs/>
              </w:rPr>
              <w:t>se the “Ask Me 3” pamphlet found in the course to engage your client.</w:t>
            </w:r>
          </w:p>
          <w:p w14:paraId="2AD41BAD" w14:textId="7C169AEF" w:rsidR="00677D7A" w:rsidRPr="00677D7A" w:rsidRDefault="00677D7A" w:rsidP="00677D7A">
            <w:r w:rsidRPr="00677D7A">
              <w:t>Use “Ask Me 3” to explain sepsis risk, signs of worsening infection, and why completing all antibiotics is critical.</w:t>
            </w:r>
            <w:r>
              <w:t xml:space="preserve"> </w:t>
            </w:r>
            <w:r w:rsidRPr="00677D7A">
              <w:rPr>
                <w:i/>
                <w:iCs/>
              </w:rPr>
              <w:t>Rationale:</w:t>
            </w:r>
            <w:r w:rsidRPr="00677D7A">
              <w:t> Improved patient understanding promotes adherence and early reporting of complications (Cleveland Clinic, 2023).</w:t>
            </w:r>
          </w:p>
          <w:p w14:paraId="19BDFA06" w14:textId="75980AE1" w:rsidR="00A314F2" w:rsidRDefault="00A314F2" w:rsidP="00677D7A"/>
        </w:tc>
        <w:tc>
          <w:tcPr>
            <w:tcW w:w="2790" w:type="dxa"/>
          </w:tcPr>
          <w:p w14:paraId="282D7A45" w14:textId="719DA72B" w:rsidR="00A314F2" w:rsidRDefault="00A314F2" w:rsidP="003C2836">
            <w:r>
              <w:t>3.</w:t>
            </w:r>
            <w:r w:rsidR="00677D7A" w:rsidRPr="00677D7A">
              <w:rPr>
                <w:rFonts w:ascii="-webkit-standard" w:hAnsi="-webkit-standard"/>
                <w:color w:val="000000"/>
                <w:sz w:val="27"/>
                <w:szCs w:val="27"/>
              </w:rPr>
              <w:t xml:space="preserve"> </w:t>
            </w:r>
            <w:r w:rsidR="00677D7A" w:rsidRPr="00677D7A">
              <w:t xml:space="preserve">The patient and family were able to verbalize understanding of infection symptoms and the importance of completing the antibiotic regimen. They asked appropriate follow-up questions and were able to identify at least three signs of worsening infection (e.g., increased fever, altered mental status, reduced urine output). </w:t>
            </w:r>
          </w:p>
        </w:tc>
      </w:tr>
    </w:tbl>
    <w:p w14:paraId="26321960" w14:textId="77777777" w:rsidR="00A314F2" w:rsidRDefault="00A314F2" w:rsidP="00B97090">
      <w:pPr>
        <w:spacing w:after="0"/>
      </w:pPr>
    </w:p>
    <w:p w14:paraId="1CF3EB5B" w14:textId="77777777" w:rsidR="00A314F2" w:rsidRDefault="00A314F2">
      <w:r>
        <w:br w:type="page"/>
      </w:r>
    </w:p>
    <w:p w14:paraId="311AF6E2" w14:textId="10CCFD7E" w:rsidR="00586D50" w:rsidRDefault="00586D50" w:rsidP="00586D50">
      <w:pPr>
        <w:spacing w:after="0"/>
      </w:pPr>
      <w:r>
        <w:lastRenderedPageBreak/>
        <w:t>Student Name:</w:t>
      </w:r>
      <w:r w:rsidRPr="00FC25D5">
        <w:rPr>
          <w:noProof/>
        </w:rPr>
        <w:t xml:space="preserve"> </w:t>
      </w:r>
    </w:p>
    <w:p w14:paraId="233E8903" w14:textId="727DF7D1" w:rsidR="00586D50" w:rsidRDefault="00586D50" w:rsidP="00586D50">
      <w:r>
        <w:t>Course Number and Name:</w:t>
      </w:r>
    </w:p>
    <w:p w14:paraId="2B2C4644" w14:textId="5419BB54" w:rsidR="00C0698A" w:rsidRDefault="00C0698A" w:rsidP="00586D50">
      <w:pPr>
        <w:pStyle w:val="Heading2"/>
      </w:pPr>
      <w:bookmarkStart w:id="1" w:name="_Hlk121899420"/>
      <w:r>
        <w:t>Question:</w:t>
      </w:r>
    </w:p>
    <w:p w14:paraId="5E2046F9" w14:textId="0875F99C" w:rsidR="00C0698A" w:rsidRDefault="00C0698A" w:rsidP="00C0698A">
      <w:pPr>
        <w:pStyle w:val="NoSpacing"/>
        <w:numPr>
          <w:ilvl w:val="0"/>
          <w:numId w:val="16"/>
        </w:numPr>
        <w:rPr>
          <w:b/>
          <w:bCs/>
        </w:rPr>
      </w:pPr>
      <w:r>
        <w:t>What were the interprofessional</w:t>
      </w:r>
      <w:r w:rsidR="007C62F0">
        <w:t>**</w:t>
      </w:r>
      <w:r>
        <w:t xml:space="preserve"> roles that you saw or would seek of the care team for your client</w:t>
      </w:r>
      <w:r w:rsidR="007C62F0">
        <w:t xml:space="preserve">? Please try to come up with 3 and make sure they relate to your chosen nursing </w:t>
      </w:r>
      <w:r w:rsidR="00B66E29">
        <w:softHyphen/>
      </w:r>
      <w:r w:rsidR="00B66E29">
        <w:softHyphen/>
      </w:r>
      <w:r w:rsidR="007C62F0">
        <w:t xml:space="preserve">problems/issues. </w:t>
      </w:r>
      <w:r w:rsidRPr="00C0698A">
        <w:rPr>
          <w:b/>
          <w:bCs/>
        </w:rPr>
        <w:t xml:space="preserve">**Interprofessional can mean care team members, patients, families, </w:t>
      </w:r>
      <w:r w:rsidR="007C62F0" w:rsidRPr="00C0698A">
        <w:rPr>
          <w:b/>
          <w:bCs/>
        </w:rPr>
        <w:t>communities,</w:t>
      </w:r>
      <w:r w:rsidRPr="00C0698A">
        <w:rPr>
          <w:b/>
          <w:bCs/>
        </w:rPr>
        <w:t xml:space="preserve"> and other stakeholders</w:t>
      </w:r>
    </w:p>
    <w:p w14:paraId="2BA9F279" w14:textId="47E8C4AC" w:rsidR="00C0698A" w:rsidRPr="00EE4606" w:rsidRDefault="007C62F0" w:rsidP="003F58FE">
      <w:pPr>
        <w:pStyle w:val="NoSpacing"/>
        <w:numPr>
          <w:ilvl w:val="1"/>
          <w:numId w:val="16"/>
        </w:numPr>
      </w:pPr>
      <w:r>
        <w:t>For each member of the interprofessional team you choose to consult, please provide details of their specific involvement.</w:t>
      </w:r>
      <w:r w:rsidRPr="007C62F0">
        <w:rPr>
          <w:bCs/>
        </w:rPr>
        <w:t xml:space="preserve"> Think: What evidence do you have that the client would benefit from this team member’s expertise beyond the current set of orders?</w:t>
      </w:r>
    </w:p>
    <w:p w14:paraId="74AC3B1C" w14:textId="77777777" w:rsidR="00EE4606" w:rsidRDefault="00EE4606" w:rsidP="00EE4606">
      <w:pPr>
        <w:pStyle w:val="NoSpacing"/>
        <w:rPr>
          <w:bCs/>
        </w:rPr>
      </w:pPr>
    </w:p>
    <w:p w14:paraId="6BF396C2" w14:textId="77777777" w:rsidR="00EE4606" w:rsidRPr="00EE4606" w:rsidRDefault="00EE4606" w:rsidP="00EE4606">
      <w:pPr>
        <w:pStyle w:val="NoSpacing"/>
      </w:pPr>
      <w:r w:rsidRPr="00EE4606">
        <w:rPr>
          <w:b/>
          <w:bCs/>
        </w:rPr>
        <w:t>Interprofessional Roles in the Management of a Post-Surgical Patient with Severe Infection and Uncontrolled Type 2 Diabetes</w:t>
      </w:r>
    </w:p>
    <w:p w14:paraId="7AEB89C9" w14:textId="401AFFE0" w:rsidR="00EE4606" w:rsidRPr="00EE4606" w:rsidRDefault="00EE4606" w:rsidP="00EE4606">
      <w:pPr>
        <w:pStyle w:val="NoSpacing"/>
      </w:pPr>
      <w:r w:rsidRPr="00EE4606">
        <w:t>Effective management</w:t>
      </w:r>
      <w:r>
        <w:t xml:space="preserve"> of </w:t>
      </w:r>
      <w:r w:rsidR="00677D7A">
        <w:t>the</w:t>
      </w:r>
      <w:r>
        <w:t xml:space="preserve"> </w:t>
      </w:r>
      <w:r w:rsidR="00304D51">
        <w:t>patients</w:t>
      </w:r>
      <w:r>
        <w:t xml:space="preserve"> as he </w:t>
      </w:r>
      <w:r w:rsidRPr="00EE4606">
        <w:t>recover</w:t>
      </w:r>
      <w:r>
        <w:t>s</w:t>
      </w:r>
      <w:r w:rsidRPr="00EE4606">
        <w:t xml:space="preserve"> from </w:t>
      </w:r>
      <w:r>
        <w:t xml:space="preserve">the </w:t>
      </w:r>
      <w:r w:rsidR="00304D51" w:rsidRPr="00EE4606">
        <w:t>surgic</w:t>
      </w:r>
      <w:r w:rsidR="00304D51">
        <w:t>al</w:t>
      </w:r>
      <w:r>
        <w:t xml:space="preserve"> debridement and continuing s</w:t>
      </w:r>
      <w:r w:rsidRPr="00EE4606">
        <w:t>evere infection requires coordinated care from an interprofessional team. Each member of this team contributes special</w:t>
      </w:r>
      <w:r>
        <w:t>ized</w:t>
      </w:r>
      <w:r w:rsidRPr="00EE4606">
        <w:t xml:space="preserve"> knowledge</w:t>
      </w:r>
      <w:r>
        <w:t xml:space="preserve">.  </w:t>
      </w:r>
      <w:r w:rsidRPr="00EE4606">
        <w:t xml:space="preserve">In this patient’s case, key </w:t>
      </w:r>
      <w:r>
        <w:t xml:space="preserve">team member </w:t>
      </w:r>
      <w:r w:rsidR="00304D51">
        <w:t>will</w:t>
      </w:r>
      <w:r w:rsidR="00304D51" w:rsidRPr="00EE4606">
        <w:t xml:space="preserve"> include</w:t>
      </w:r>
      <w:r w:rsidRPr="00EE4606">
        <w:t xml:space="preserve"> the hospitalist, the registered dietitian</w:t>
      </w:r>
      <w:r>
        <w:t xml:space="preserve"> or nutritionist</w:t>
      </w:r>
      <w:r w:rsidRPr="00EE4606">
        <w:t>, and an endocrinologist. These roles align with the patient’s primary nursing concerns: infection management, nutritional deficits, and impaired glucose control.</w:t>
      </w:r>
    </w:p>
    <w:p w14:paraId="3911D7C9" w14:textId="55F1D8A5" w:rsidR="00EE4606" w:rsidRPr="00EE4606" w:rsidRDefault="00EE4606" w:rsidP="00EE4606">
      <w:pPr>
        <w:pStyle w:val="NoSpacing"/>
      </w:pPr>
      <w:r>
        <w:t>Alongside the nursing staff, t</w:t>
      </w:r>
      <w:r w:rsidRPr="00EE4606">
        <w:t xml:space="preserve">he hospitalist plays </w:t>
      </w:r>
      <w:r>
        <w:t>the central</w:t>
      </w:r>
      <w:r w:rsidRPr="00EE4606">
        <w:t xml:space="preserve"> role in daily patient care coordination and decision-making. For a patient with a post-operative infection and potential sepsis, the hospitalist closely monitors vital signs, white blood cell counts, C-reactive protein, and lactate levels</w:t>
      </w:r>
      <w:r>
        <w:t xml:space="preserve">.  </w:t>
      </w:r>
      <w:r w:rsidRPr="00EE4606">
        <w:t xml:space="preserve"> Additionally, the hospitalist adjusts antibiotic therapy, fluids, and monitors for signs of worsening sepsis or secondary complications (Harding, 2024). This provider's presence on the </w:t>
      </w:r>
      <w:r w:rsidR="00304D51">
        <w:t>hospital</w:t>
      </w:r>
      <w:r>
        <w:t xml:space="preserve"> </w:t>
      </w:r>
      <w:r w:rsidRPr="00EE4606">
        <w:t xml:space="preserve">unit enables </w:t>
      </w:r>
      <w:r>
        <w:t>quick r</w:t>
      </w:r>
      <w:r w:rsidRPr="00EE4606">
        <w:t xml:space="preserve">esponses to lab </w:t>
      </w:r>
      <w:r>
        <w:t xml:space="preserve">results </w:t>
      </w:r>
      <w:r w:rsidRPr="00EE4606">
        <w:t>and physical changes</w:t>
      </w:r>
      <w:r>
        <w:t xml:space="preserve"> noted by nursing staff</w:t>
      </w:r>
    </w:p>
    <w:p w14:paraId="7C9005EB" w14:textId="54222268" w:rsidR="00EE4606" w:rsidRPr="00EE4606" w:rsidRDefault="00EE4606" w:rsidP="00EE4606">
      <w:pPr>
        <w:pStyle w:val="NoSpacing"/>
      </w:pPr>
      <w:r w:rsidRPr="00EE4606">
        <w:t xml:space="preserve">The dietitian’s involvement is equally critical, particularly in the context of </w:t>
      </w:r>
      <w:r>
        <w:t>this patient’s new</w:t>
      </w:r>
      <w:r w:rsidR="00BD57A6">
        <w:t xml:space="preserve"> </w:t>
      </w:r>
      <w:r w:rsidR="00304D51">
        <w:t>diagnosis</w:t>
      </w:r>
      <w:r>
        <w:t xml:space="preserve"> of Type 2 Diabetes </w:t>
      </w:r>
      <w:proofErr w:type="spellStart"/>
      <w:r w:rsidR="00304D51">
        <w:t>Melitus</w:t>
      </w:r>
      <w:proofErr w:type="spellEnd"/>
      <w:r>
        <w:t>, along with labs noting i</w:t>
      </w:r>
      <w:r w:rsidRPr="00EE4606">
        <w:t>mpaired nutritional status</w:t>
      </w:r>
      <w:r w:rsidR="00AA4BA1">
        <w:t xml:space="preserve">.  </w:t>
      </w:r>
      <w:r>
        <w:t xml:space="preserve"> for example low total protein and </w:t>
      </w:r>
      <w:r w:rsidRPr="00EE4606">
        <w:t>low albumin (2.8 g/dL</w:t>
      </w:r>
      <w:r>
        <w:t>)</w:t>
      </w:r>
      <w:r w:rsidRPr="00EE4606">
        <w:t xml:space="preserve">. These deficiencies </w:t>
      </w:r>
      <w:r>
        <w:t>indicate poor</w:t>
      </w:r>
      <w:r w:rsidRPr="00EE4606">
        <w:t xml:space="preserve"> nutritional intake but </w:t>
      </w:r>
      <w:r>
        <w:t xml:space="preserve">will also </w:t>
      </w:r>
      <w:r w:rsidRPr="00EE4606">
        <w:t>contribute to delayed wound healing and increased susceptibility to infection (Harding, 2024). A dietitian assesses the patient’s caloric, protein, and micronutrient needs and develops a meal plan that supports tissue repair while minimizing glycemic variability. Their input also informs nursing interventions such as timing of insulin administration and monitoring of oral intake.</w:t>
      </w:r>
      <w:r>
        <w:t xml:space="preserve">  Education is a key component integrating the work of this team member. </w:t>
      </w:r>
    </w:p>
    <w:p w14:paraId="3C4008A6" w14:textId="7229ABDD" w:rsidR="00EE4606" w:rsidRPr="00EE4606" w:rsidRDefault="00EE4606" w:rsidP="00EE4606">
      <w:pPr>
        <w:pStyle w:val="NoSpacing"/>
      </w:pPr>
      <w:r w:rsidRPr="00EE4606">
        <w:t xml:space="preserve">An endocrinologist is </w:t>
      </w:r>
      <w:r>
        <w:t xml:space="preserve">the </w:t>
      </w:r>
      <w:r w:rsidRPr="00EE4606">
        <w:t xml:space="preserve">specialist for long-term management of the </w:t>
      </w:r>
      <w:r>
        <w:t xml:space="preserve">patient’s </w:t>
      </w:r>
      <w:r w:rsidRPr="00EE4606">
        <w:t xml:space="preserve">T2DM, particularly </w:t>
      </w:r>
      <w:proofErr w:type="gramStart"/>
      <w:r w:rsidRPr="00EE4606">
        <w:t>in light of</w:t>
      </w:r>
      <w:proofErr w:type="gramEnd"/>
      <w:r w:rsidRPr="00EE4606">
        <w:t xml:space="preserve"> an A1C of 11% and a random glucose level of 224 mg/dL. </w:t>
      </w:r>
      <w:r w:rsidR="00BD57A6">
        <w:t xml:space="preserve">The </w:t>
      </w:r>
      <w:r w:rsidR="00BD57A6" w:rsidRPr="00EE4606">
        <w:t>endocrinologist</w:t>
      </w:r>
      <w:r w:rsidRPr="00EE4606">
        <w:t xml:space="preserve"> may not play a central role during the acute hospital phase, early referral ensures the patient receives specialized follow-up after discharge. According to the American Association of Clinical Endocrinology (AACE, 2023), endocrinology consultation is recommended when glycemic control is significantly off-target, especially in the setting of acute illness or surgery. Endocrinologists can initiate or adjust insulin regimens, recommend continuous glucose monitoring, and address complications like diabetic neuropathy or impaired wound healing.</w:t>
      </w:r>
    </w:p>
    <w:p w14:paraId="7F98A0F1" w14:textId="77777777" w:rsidR="00EE4606" w:rsidRPr="00EE4606" w:rsidRDefault="00EE4606" w:rsidP="00EE4606">
      <w:pPr>
        <w:pStyle w:val="NoSpacing"/>
      </w:pPr>
      <w:r w:rsidRPr="00EE4606">
        <w:t>Beyond these three key providers, other professionals—such as the surgeon and anesthesiologist—contribute essential perioperative care. However, the hospitalist, dietitian, and endocrinologist remain central to addressing the current nursing concerns: risk for sepsis, impaired wound healing, and poor glycemic control. Interprofessional collaboration among these team members ensures holistic, evidence-based care that supports short- and long-term recovery.</w:t>
      </w:r>
    </w:p>
    <w:p w14:paraId="02958EAE" w14:textId="7EB798FD" w:rsidR="00EE4606" w:rsidRDefault="00EE4606" w:rsidP="00EE4606">
      <w:pPr>
        <w:pStyle w:val="NoSpacing"/>
      </w:pPr>
    </w:p>
    <w:p w14:paraId="7E9EADC7" w14:textId="77777777" w:rsidR="00EE4606" w:rsidRDefault="00EE4606" w:rsidP="00EE4606">
      <w:pPr>
        <w:pStyle w:val="NoSpacing"/>
      </w:pPr>
    </w:p>
    <w:p w14:paraId="4154F54D" w14:textId="77777777" w:rsidR="00EE4606" w:rsidRDefault="00EE4606" w:rsidP="00EE4606">
      <w:pPr>
        <w:pStyle w:val="NoSpacing"/>
      </w:pPr>
    </w:p>
    <w:p w14:paraId="6157F0D8" w14:textId="77777777" w:rsidR="00EE4606" w:rsidRDefault="00EE4606" w:rsidP="00EE4606">
      <w:pPr>
        <w:pStyle w:val="NoSpacing"/>
      </w:pPr>
    </w:p>
    <w:p w14:paraId="1EE88425" w14:textId="77777777" w:rsidR="00EE4606" w:rsidRDefault="00EE4606" w:rsidP="00EE4606">
      <w:pPr>
        <w:pStyle w:val="NoSpacing"/>
      </w:pPr>
    </w:p>
    <w:p w14:paraId="1178227E" w14:textId="77777777" w:rsidR="00EE4606" w:rsidRPr="00EE4606" w:rsidRDefault="00EE4606" w:rsidP="00EE4606">
      <w:pPr>
        <w:pStyle w:val="NoSpacing"/>
      </w:pPr>
    </w:p>
    <w:p w14:paraId="5BEFFE7B" w14:textId="77777777" w:rsidR="00C0698A" w:rsidRDefault="00C0698A" w:rsidP="00586D50">
      <w:pPr>
        <w:pStyle w:val="Heading2"/>
      </w:pPr>
    </w:p>
    <w:p w14:paraId="5A4A34E1" w14:textId="37BBB406" w:rsidR="00586D50" w:rsidRDefault="00586D50" w:rsidP="00586D50">
      <w:pPr>
        <w:pStyle w:val="Heading2"/>
      </w:pPr>
      <w:r>
        <w:t>Medication</w:t>
      </w:r>
      <w:r w:rsidR="007C62F0">
        <w:t>s</w:t>
      </w:r>
    </w:p>
    <w:p w14:paraId="170F52E5" w14:textId="77777777" w:rsidR="00586D50" w:rsidRDefault="00586D50" w:rsidP="00586D50">
      <w:r>
        <w:t>Please respond to each of these questions for each of the medications.</w:t>
      </w:r>
    </w:p>
    <w:p w14:paraId="41EBE080" w14:textId="5F4EDF6B" w:rsidR="00586D50" w:rsidRPr="00586D50" w:rsidRDefault="00586D50" w:rsidP="00586D50">
      <w:pPr>
        <w:pStyle w:val="ListParagraph"/>
        <w:numPr>
          <w:ilvl w:val="0"/>
          <w:numId w:val="10"/>
        </w:numPr>
      </w:pPr>
      <w:r w:rsidRPr="00586D50">
        <w:t>Medication name (Generic)</w:t>
      </w:r>
    </w:p>
    <w:p w14:paraId="11106904" w14:textId="447D4DBC" w:rsidR="00586D50" w:rsidRPr="00586D50" w:rsidRDefault="00586D50" w:rsidP="00586D50">
      <w:pPr>
        <w:pStyle w:val="ListParagraph"/>
        <w:numPr>
          <w:ilvl w:val="0"/>
          <w:numId w:val="10"/>
        </w:numPr>
      </w:pPr>
      <w:r w:rsidRPr="00586D50">
        <w:t>What is the class of the medication?</w:t>
      </w:r>
    </w:p>
    <w:p w14:paraId="3D99821D" w14:textId="348AC4B1" w:rsidR="00586D50" w:rsidRPr="00586D50" w:rsidRDefault="00586D50" w:rsidP="00586D50">
      <w:pPr>
        <w:pStyle w:val="ListParagraph"/>
        <w:numPr>
          <w:ilvl w:val="0"/>
          <w:numId w:val="10"/>
        </w:numPr>
      </w:pPr>
      <w:r w:rsidRPr="00586D50">
        <w:t>Why is this medication appropriate for this client?</w:t>
      </w:r>
    </w:p>
    <w:p w14:paraId="45216D33" w14:textId="4F4179B6" w:rsidR="00586D50" w:rsidRPr="00586D50" w:rsidRDefault="00586D50" w:rsidP="00586D50">
      <w:pPr>
        <w:pStyle w:val="ListParagraph"/>
        <w:numPr>
          <w:ilvl w:val="0"/>
          <w:numId w:val="10"/>
        </w:numPr>
      </w:pPr>
      <w:r w:rsidRPr="00586D50">
        <w:t>What is the safe dose range?</w:t>
      </w:r>
    </w:p>
    <w:p w14:paraId="2E670F20" w14:textId="34D86AEF" w:rsidR="00586D50" w:rsidRPr="00586D50" w:rsidRDefault="00586D50" w:rsidP="00586D50">
      <w:pPr>
        <w:pStyle w:val="ListParagraph"/>
        <w:numPr>
          <w:ilvl w:val="0"/>
          <w:numId w:val="10"/>
        </w:numPr>
      </w:pPr>
      <w:r w:rsidRPr="00586D50">
        <w:t>Acceptable routes and rates (if applicable)</w:t>
      </w:r>
    </w:p>
    <w:p w14:paraId="42BC110C" w14:textId="378204A0" w:rsidR="00586D50" w:rsidRPr="00586D50" w:rsidRDefault="00586D50" w:rsidP="00586D50">
      <w:pPr>
        <w:pStyle w:val="ListParagraph"/>
        <w:numPr>
          <w:ilvl w:val="1"/>
          <w:numId w:val="10"/>
        </w:numPr>
      </w:pPr>
      <w:r w:rsidRPr="00586D50">
        <w:t xml:space="preserve">The expectation is that you will </w:t>
      </w:r>
      <w:r w:rsidR="008A2DB7">
        <w:t>respond to this question based on what is</w:t>
      </w:r>
      <w:r w:rsidRPr="00586D50">
        <w:t xml:space="preserve"> happening with your client, and tailor your medication sheet to that administration route.</w:t>
      </w:r>
    </w:p>
    <w:p w14:paraId="0821AA23" w14:textId="4E515606" w:rsidR="00586D50" w:rsidRPr="00586D50" w:rsidRDefault="00586D50" w:rsidP="00586D50">
      <w:pPr>
        <w:pStyle w:val="ListParagraph"/>
        <w:numPr>
          <w:ilvl w:val="0"/>
          <w:numId w:val="10"/>
        </w:numPr>
      </w:pPr>
      <w:r w:rsidRPr="00586D50">
        <w:t>Any critical assessment data (physical, labs, other medications, procedurally, interactions) you need to evaluate prior to giving this medication?</w:t>
      </w:r>
    </w:p>
    <w:p w14:paraId="0E88A9DB" w14:textId="27BC0DBA" w:rsidR="00586D50" w:rsidRPr="00586D50" w:rsidRDefault="00586D50" w:rsidP="00586D50">
      <w:pPr>
        <w:pStyle w:val="ListParagraph"/>
        <w:numPr>
          <w:ilvl w:val="0"/>
          <w:numId w:val="10"/>
        </w:numPr>
      </w:pPr>
      <w:r w:rsidRPr="00586D50">
        <w:t xml:space="preserve">How will </w:t>
      </w:r>
      <w:r w:rsidR="00655978">
        <w:t xml:space="preserve">you </w:t>
      </w:r>
      <w:r w:rsidRPr="00586D50">
        <w:t>evaluate the effectiveness of the medication</w:t>
      </w:r>
      <w:r>
        <w:t>?</w:t>
      </w:r>
    </w:p>
    <w:p w14:paraId="1FCC1F70" w14:textId="3D30A33B" w:rsidR="00586D50" w:rsidRDefault="00586D50" w:rsidP="00586D50">
      <w:pPr>
        <w:pStyle w:val="ListParagraph"/>
        <w:numPr>
          <w:ilvl w:val="0"/>
          <w:numId w:val="10"/>
        </w:numPr>
      </w:pPr>
      <w:r w:rsidRPr="00586D50">
        <w:t xml:space="preserve">How will </w:t>
      </w:r>
      <w:r w:rsidR="00655978">
        <w:t xml:space="preserve">you </w:t>
      </w:r>
      <w:r w:rsidRPr="00586D50">
        <w:t>educate the client BEFORE administering this medication</w:t>
      </w:r>
      <w:r>
        <w:t>?</w:t>
      </w:r>
    </w:p>
    <w:p w14:paraId="6ED2178D" w14:textId="70AB4BF2" w:rsidR="00586D50" w:rsidRDefault="00586D50" w:rsidP="00586D50">
      <w:pPr>
        <w:rPr>
          <w:rStyle w:val="Strong"/>
        </w:rPr>
      </w:pPr>
      <w:r w:rsidRPr="00586D50">
        <w:rPr>
          <w:rStyle w:val="Strong"/>
        </w:rPr>
        <w:t>Use your own words. Do not copy from your source but make sure you include citations and make sure you include a reference page.</w:t>
      </w:r>
    </w:p>
    <w:p w14:paraId="544846D1" w14:textId="77777777" w:rsidR="00E36803" w:rsidRDefault="00E36803" w:rsidP="00586D50">
      <w:pPr>
        <w:rPr>
          <w:rStyle w:val="Strong"/>
        </w:rPr>
      </w:pPr>
    </w:p>
    <w:p w14:paraId="2E183F7F" w14:textId="5F9BFE4F" w:rsidR="00E36803" w:rsidRPr="00825003" w:rsidRDefault="00E36803" w:rsidP="00586D50">
      <w:pPr>
        <w:rPr>
          <w:rStyle w:val="Strong"/>
          <w:b w:val="0"/>
          <w:bCs w:val="0"/>
        </w:rPr>
      </w:pPr>
      <w:r w:rsidRPr="00825003">
        <w:rPr>
          <w:rStyle w:val="Strong"/>
          <w:b w:val="0"/>
          <w:bCs w:val="0"/>
        </w:rPr>
        <w:t>Medications:</w:t>
      </w:r>
    </w:p>
    <w:p w14:paraId="761E7641" w14:textId="3D397997" w:rsidR="00E36803" w:rsidRPr="00825003" w:rsidRDefault="00E36803" w:rsidP="00586D50">
      <w:pPr>
        <w:pStyle w:val="ListParagraph"/>
        <w:numPr>
          <w:ilvl w:val="0"/>
          <w:numId w:val="18"/>
        </w:numPr>
      </w:pPr>
      <w:r w:rsidRPr="00825003">
        <w:rPr>
          <w:rStyle w:val="Strong"/>
          <w:b w:val="0"/>
          <w:bCs w:val="0"/>
        </w:rPr>
        <w:t xml:space="preserve"> Hydromorphone is an </w:t>
      </w:r>
      <w:r w:rsidR="00C976E4" w:rsidRPr="00825003">
        <w:rPr>
          <w:rStyle w:val="Strong"/>
          <w:b w:val="0"/>
          <w:bCs w:val="0"/>
        </w:rPr>
        <w:t>opioid</w:t>
      </w:r>
      <w:r w:rsidRPr="00825003">
        <w:rPr>
          <w:rStyle w:val="Strong"/>
          <w:b w:val="0"/>
          <w:bCs w:val="0"/>
        </w:rPr>
        <w:t xml:space="preserve"> analgesic used for moderate to sever</w:t>
      </w:r>
      <w:r w:rsidR="003B60F0" w:rsidRPr="00825003">
        <w:rPr>
          <w:rStyle w:val="Strong"/>
          <w:b w:val="0"/>
          <w:bCs w:val="0"/>
        </w:rPr>
        <w:t>e</w:t>
      </w:r>
      <w:r w:rsidRPr="00825003">
        <w:rPr>
          <w:rStyle w:val="Strong"/>
          <w:b w:val="0"/>
          <w:bCs w:val="0"/>
        </w:rPr>
        <w:t xml:space="preserve"> pain often pain related to infection of surgical site.  Safe Dose </w:t>
      </w:r>
      <w:r w:rsidR="00C976E4" w:rsidRPr="00825003">
        <w:rPr>
          <w:rStyle w:val="Strong"/>
          <w:b w:val="0"/>
          <w:bCs w:val="0"/>
        </w:rPr>
        <w:t>range</w:t>
      </w:r>
      <w:r w:rsidRPr="00825003">
        <w:rPr>
          <w:rStyle w:val="Strong"/>
          <w:b w:val="0"/>
          <w:bCs w:val="0"/>
        </w:rPr>
        <w:t xml:space="preserve"> is .2-1mg IV every 2-3 </w:t>
      </w:r>
      <w:proofErr w:type="spellStart"/>
      <w:r w:rsidRPr="00825003">
        <w:rPr>
          <w:rStyle w:val="Strong"/>
          <w:b w:val="0"/>
          <w:bCs w:val="0"/>
        </w:rPr>
        <w:t>hrs</w:t>
      </w:r>
      <w:proofErr w:type="spellEnd"/>
      <w:r w:rsidRPr="00825003">
        <w:rPr>
          <w:rStyle w:val="Strong"/>
          <w:b w:val="0"/>
          <w:bCs w:val="0"/>
        </w:rPr>
        <w:t xml:space="preserve"> PRN for adults, Dose should be adjusted for </w:t>
      </w:r>
      <w:r w:rsidR="00C976E4" w:rsidRPr="00825003">
        <w:rPr>
          <w:rStyle w:val="Strong"/>
          <w:b w:val="0"/>
          <w:bCs w:val="0"/>
        </w:rPr>
        <w:t>patients</w:t>
      </w:r>
      <w:r w:rsidRPr="00825003">
        <w:rPr>
          <w:rStyle w:val="Strong"/>
          <w:b w:val="0"/>
          <w:bCs w:val="0"/>
        </w:rPr>
        <w:t xml:space="preserve"> with renal or hepatic impairment.  Should </w:t>
      </w:r>
      <w:r w:rsidR="004128ED" w:rsidRPr="00825003">
        <w:rPr>
          <w:rStyle w:val="Strong"/>
          <w:b w:val="0"/>
          <w:bCs w:val="0"/>
        </w:rPr>
        <w:t>b</w:t>
      </w:r>
      <w:r w:rsidRPr="00825003">
        <w:rPr>
          <w:rStyle w:val="Strong"/>
          <w:b w:val="0"/>
          <w:bCs w:val="0"/>
        </w:rPr>
        <w:t xml:space="preserve">e administered via IV push slowly of 2-3 </w:t>
      </w:r>
      <w:r w:rsidR="00C976E4" w:rsidRPr="00825003">
        <w:rPr>
          <w:rStyle w:val="Strong"/>
          <w:b w:val="0"/>
          <w:bCs w:val="0"/>
        </w:rPr>
        <w:t>minutes</w:t>
      </w:r>
      <w:r w:rsidRPr="00825003">
        <w:rPr>
          <w:rStyle w:val="Strong"/>
          <w:b w:val="0"/>
          <w:bCs w:val="0"/>
        </w:rPr>
        <w:t>, it is also available as PO tablets or injection.</w:t>
      </w:r>
      <w:r w:rsidR="00C976E4" w:rsidRPr="00825003">
        <w:rPr>
          <w:rStyle w:val="Strong"/>
          <w:b w:val="0"/>
          <w:bCs w:val="0"/>
        </w:rPr>
        <w:t xml:space="preserve"> </w:t>
      </w:r>
      <w:r w:rsidR="003B60F0" w:rsidRPr="00825003">
        <w:t xml:space="preserve">Prior to administration, nurses should assess the patient’s respiratory rate, pain level, and sedation status.  Must also review any concurrent medications that also act as CNS depressants. Effectiveness of this medication is measured by the patient’s report </w:t>
      </w:r>
      <w:r w:rsidR="00304D51" w:rsidRPr="00825003">
        <w:t>of pain</w:t>
      </w:r>
      <w:r w:rsidR="003B60F0" w:rsidRPr="00825003">
        <w:t xml:space="preserve"> relief and improved physical comfort. Before administering this medication, patients should be educated about potential drowsiness, breathing changes, and the importance of alerting staff if pain worsens or feels uncontrolled.  Other noted side effects are constipation and </w:t>
      </w:r>
      <w:r w:rsidR="00C976E4" w:rsidRPr="00825003">
        <w:rPr>
          <w:rStyle w:val="Strong"/>
          <w:b w:val="0"/>
          <w:bCs w:val="0"/>
        </w:rPr>
        <w:t>(</w:t>
      </w:r>
      <w:r w:rsidR="00C976E4" w:rsidRPr="00825003">
        <w:t>Pfizer, 2023)</w:t>
      </w:r>
    </w:p>
    <w:p w14:paraId="7EB32C17" w14:textId="77777777" w:rsidR="00C976E4" w:rsidRPr="00825003" w:rsidRDefault="00C976E4" w:rsidP="00C976E4">
      <w:pPr>
        <w:pStyle w:val="ListParagraph"/>
        <w:rPr>
          <w:rStyle w:val="Strong"/>
          <w:b w:val="0"/>
          <w:bCs w:val="0"/>
        </w:rPr>
      </w:pPr>
    </w:p>
    <w:p w14:paraId="6707A26E" w14:textId="6E94CBC5" w:rsidR="00E36803" w:rsidRPr="00825003" w:rsidRDefault="003B60F0" w:rsidP="00586D50">
      <w:pPr>
        <w:pStyle w:val="ListParagraph"/>
        <w:numPr>
          <w:ilvl w:val="0"/>
          <w:numId w:val="18"/>
        </w:numPr>
        <w:rPr>
          <w:rStyle w:val="Strong"/>
          <w:b w:val="0"/>
          <w:bCs w:val="0"/>
        </w:rPr>
      </w:pPr>
      <w:r w:rsidRPr="00825003">
        <w:rPr>
          <w:rStyle w:val="Strong"/>
          <w:b w:val="0"/>
          <w:bCs w:val="0"/>
        </w:rPr>
        <w:t>Enoxaparin</w:t>
      </w:r>
      <w:r w:rsidR="00E36803" w:rsidRPr="00825003">
        <w:rPr>
          <w:rStyle w:val="Strong"/>
          <w:b w:val="0"/>
          <w:bCs w:val="0"/>
        </w:rPr>
        <w:t xml:space="preserve"> is a low molecular weight heparin which is an anticoagulant.  This medication is used to prevent DVT/PE in a hospitalized patients with an infection and reduced ambulation.  30-40 mg </w:t>
      </w:r>
      <w:proofErr w:type="spellStart"/>
      <w:r w:rsidR="00E36803" w:rsidRPr="00825003">
        <w:rPr>
          <w:rStyle w:val="Strong"/>
          <w:b w:val="0"/>
          <w:bCs w:val="0"/>
        </w:rPr>
        <w:t>Subq</w:t>
      </w:r>
      <w:proofErr w:type="spellEnd"/>
      <w:r w:rsidR="00E36803" w:rsidRPr="00825003">
        <w:rPr>
          <w:rStyle w:val="Strong"/>
          <w:b w:val="0"/>
          <w:bCs w:val="0"/>
        </w:rPr>
        <w:t xml:space="preserve"> every 12-24 hours, medication dose show </w:t>
      </w:r>
      <w:proofErr w:type="gramStart"/>
      <w:r w:rsidR="00E36803" w:rsidRPr="00825003">
        <w:rPr>
          <w:rStyle w:val="Strong"/>
          <w:b w:val="0"/>
          <w:bCs w:val="0"/>
        </w:rPr>
        <w:t>be</w:t>
      </w:r>
      <w:proofErr w:type="gramEnd"/>
      <w:r w:rsidR="00E36803" w:rsidRPr="00825003">
        <w:rPr>
          <w:rStyle w:val="Strong"/>
          <w:b w:val="0"/>
          <w:bCs w:val="0"/>
        </w:rPr>
        <w:t xml:space="preserve"> adjust for renal </w:t>
      </w:r>
      <w:r w:rsidRPr="00825003">
        <w:rPr>
          <w:rStyle w:val="Strong"/>
          <w:b w:val="0"/>
          <w:bCs w:val="0"/>
        </w:rPr>
        <w:t>impairment</w:t>
      </w:r>
      <w:r w:rsidR="00E36803" w:rsidRPr="00825003">
        <w:rPr>
          <w:rStyle w:val="Strong"/>
          <w:b w:val="0"/>
          <w:bCs w:val="0"/>
        </w:rPr>
        <w:t xml:space="preserve">. </w:t>
      </w:r>
      <w:r w:rsidR="00F433FB">
        <w:rPr>
          <w:rStyle w:val="Strong"/>
          <w:b w:val="0"/>
          <w:bCs w:val="0"/>
        </w:rPr>
        <w:t>(</w:t>
      </w:r>
      <w:r w:rsidR="00F433FB" w:rsidRPr="00F433FB">
        <w:t>Wolters Kluwer</w:t>
      </w:r>
      <w:r w:rsidR="00F433FB">
        <w:t>,</w:t>
      </w:r>
      <w:r w:rsidR="00F433FB" w:rsidRPr="00F433FB">
        <w:t>2023</w:t>
      </w:r>
      <w:r w:rsidR="00F433FB">
        <w:t xml:space="preserve">). Patient should be assessed for PTT and INR and Platelets, bleeding, history of trauma, bloody stools, bruising, renal impairment.  Should be given cautious in patients with recent surgery.  </w:t>
      </w:r>
    </w:p>
    <w:p w14:paraId="231B6138" w14:textId="77777777" w:rsidR="003B60F0" w:rsidRPr="00825003" w:rsidRDefault="003B60F0" w:rsidP="003B60F0">
      <w:pPr>
        <w:pStyle w:val="ListParagraph"/>
        <w:rPr>
          <w:rStyle w:val="Strong"/>
          <w:b w:val="0"/>
          <w:bCs w:val="0"/>
        </w:rPr>
      </w:pPr>
    </w:p>
    <w:p w14:paraId="7970ED7F" w14:textId="305BF4D9" w:rsidR="00825003" w:rsidRDefault="003B60F0" w:rsidP="00F433FB">
      <w:pPr>
        <w:pStyle w:val="ListParagraph"/>
        <w:numPr>
          <w:ilvl w:val="0"/>
          <w:numId w:val="18"/>
        </w:numPr>
      </w:pPr>
      <w:r w:rsidRPr="00825003">
        <w:t xml:space="preserve">Metronidazole is an antibiotic effective against anaerobic bacteria and protozoa, frequently used for intra-abdominal, gynecological, or post-surgical infections. It is appropriate for this client who may be experiencing deeper soft tissue or abdominal involvement. The adult IV dose is 500 mg every 8 hours, </w:t>
      </w:r>
      <w:r w:rsidRPr="00825003">
        <w:lastRenderedPageBreak/>
        <w:t>administered over 30–60 minutes. Critical assessments include liver function, alcohol use, and baseline neurologic status due to the potential for adverse reactions like neuropathy or disulfiram-like effects. Evaluate effectiveness through resolution of infection signs and improved WBC levels. Educate the patient to avoid all alcohol during treatment and to complete the entire prescribed course.</w:t>
      </w:r>
      <w:r w:rsidR="00F433FB">
        <w:t xml:space="preserve"> (</w:t>
      </w:r>
      <w:r w:rsidR="00F433FB" w:rsidRPr="00F433FB">
        <w:t>Wolters Kluwer</w:t>
      </w:r>
      <w:r w:rsidR="00F433FB">
        <w:t>,</w:t>
      </w:r>
      <w:r w:rsidR="00F433FB" w:rsidRPr="00F433FB">
        <w:t>2023</w:t>
      </w:r>
      <w:r w:rsidR="00F433FB">
        <w:t>)</w:t>
      </w:r>
    </w:p>
    <w:p w14:paraId="41FA11B8" w14:textId="77777777" w:rsidR="00F433FB" w:rsidRPr="00F433FB" w:rsidRDefault="00F433FB" w:rsidP="00F433FB">
      <w:pPr>
        <w:pStyle w:val="ListParagraph"/>
        <w:rPr>
          <w:rStyle w:val="Strong"/>
          <w:b w:val="0"/>
          <w:bCs w:val="0"/>
        </w:rPr>
      </w:pPr>
    </w:p>
    <w:p w14:paraId="19D6013C" w14:textId="77777777" w:rsidR="00F433FB" w:rsidRPr="00F433FB" w:rsidRDefault="00F433FB" w:rsidP="00F433FB">
      <w:pPr>
        <w:pStyle w:val="ListParagraph"/>
        <w:rPr>
          <w:rStyle w:val="Strong"/>
          <w:b w:val="0"/>
          <w:bCs w:val="0"/>
        </w:rPr>
      </w:pPr>
    </w:p>
    <w:p w14:paraId="36291036" w14:textId="4AC558EC" w:rsidR="00E36803" w:rsidRPr="00825003" w:rsidRDefault="00E36803" w:rsidP="00E36803">
      <w:pPr>
        <w:pStyle w:val="ListParagraph"/>
        <w:numPr>
          <w:ilvl w:val="0"/>
          <w:numId w:val="18"/>
        </w:numPr>
        <w:rPr>
          <w:rStyle w:val="Strong"/>
          <w:b w:val="0"/>
          <w:bCs w:val="0"/>
        </w:rPr>
      </w:pPr>
      <w:proofErr w:type="spellStart"/>
      <w:r w:rsidRPr="00825003">
        <w:rPr>
          <w:rStyle w:val="Strong"/>
          <w:b w:val="0"/>
          <w:bCs w:val="0"/>
        </w:rPr>
        <w:t>Lactocbacillus</w:t>
      </w:r>
      <w:proofErr w:type="spellEnd"/>
      <w:r w:rsidRPr="00825003">
        <w:rPr>
          <w:rStyle w:val="Strong"/>
          <w:b w:val="0"/>
          <w:bCs w:val="0"/>
        </w:rPr>
        <w:t xml:space="preserve"> </w:t>
      </w:r>
      <w:proofErr w:type="spellStart"/>
      <w:r w:rsidRPr="00825003">
        <w:rPr>
          <w:rStyle w:val="Strong"/>
          <w:b w:val="0"/>
          <w:bCs w:val="0"/>
        </w:rPr>
        <w:t>Rhammosus</w:t>
      </w:r>
      <w:proofErr w:type="spellEnd"/>
      <w:r w:rsidRPr="00825003">
        <w:rPr>
          <w:rStyle w:val="Strong"/>
          <w:b w:val="0"/>
          <w:bCs w:val="0"/>
        </w:rPr>
        <w:t xml:space="preserve"> is a probiotic given in tablet form </w:t>
      </w:r>
      <w:r w:rsidR="003B60F0" w:rsidRPr="00825003">
        <w:rPr>
          <w:rStyle w:val="Strong"/>
          <w:b w:val="0"/>
          <w:bCs w:val="0"/>
        </w:rPr>
        <w:t>to</w:t>
      </w:r>
      <w:r w:rsidRPr="00825003">
        <w:rPr>
          <w:rStyle w:val="Strong"/>
          <w:b w:val="0"/>
          <w:bCs w:val="0"/>
        </w:rPr>
        <w:t xml:space="preserve"> </w:t>
      </w:r>
      <w:r w:rsidR="00304D51" w:rsidRPr="00825003">
        <w:rPr>
          <w:rStyle w:val="Strong"/>
          <w:b w:val="0"/>
          <w:bCs w:val="0"/>
        </w:rPr>
        <w:t>replenish</w:t>
      </w:r>
      <w:r w:rsidRPr="00825003">
        <w:rPr>
          <w:rStyle w:val="Strong"/>
          <w:b w:val="0"/>
          <w:bCs w:val="0"/>
        </w:rPr>
        <w:t xml:space="preserve"> healthy gut bacteria which is especially important for a patient during IV antibiotic treatment. </w:t>
      </w:r>
      <w:r w:rsidR="0031171D">
        <w:rPr>
          <w:rStyle w:val="Strong"/>
          <w:b w:val="0"/>
          <w:bCs w:val="0"/>
        </w:rPr>
        <w:t xml:space="preserve"> Used to prevent </w:t>
      </w:r>
      <w:r w:rsidR="0031171D" w:rsidRPr="0031171D">
        <w:t>antibiotic-associated diarrhea</w:t>
      </w:r>
      <w:r w:rsidR="0031171D">
        <w:t xml:space="preserve">. </w:t>
      </w:r>
      <w:r w:rsidR="0031171D" w:rsidRPr="0031171D">
        <w:t>Oral, often 10–20 billion CFU daily</w:t>
      </w:r>
      <w:r w:rsidR="0031171D">
        <w:t xml:space="preserve">.  Used cautiously in patients who are severely immunocompromised.  </w:t>
      </w:r>
      <w:r w:rsidR="0031171D">
        <w:rPr>
          <w:rStyle w:val="Strong"/>
          <w:b w:val="0"/>
          <w:bCs w:val="0"/>
        </w:rPr>
        <w:t>(Steele, 2022)</w:t>
      </w:r>
    </w:p>
    <w:p w14:paraId="6D5A4612" w14:textId="77777777" w:rsidR="00280923" w:rsidRPr="00825003" w:rsidRDefault="00280923" w:rsidP="00280923">
      <w:pPr>
        <w:pStyle w:val="ListParagraph"/>
        <w:rPr>
          <w:rStyle w:val="Strong"/>
          <w:b w:val="0"/>
          <w:bCs w:val="0"/>
        </w:rPr>
      </w:pPr>
    </w:p>
    <w:p w14:paraId="4C23A63E" w14:textId="2BB6EA27" w:rsidR="00F433FB" w:rsidRPr="00F433FB" w:rsidRDefault="00280923" w:rsidP="00F433FB">
      <w:pPr>
        <w:pStyle w:val="ListParagraph"/>
        <w:numPr>
          <w:ilvl w:val="0"/>
          <w:numId w:val="18"/>
        </w:numPr>
      </w:pPr>
      <w:r w:rsidRPr="00825003">
        <w:t xml:space="preserve">Clindamycin is a </w:t>
      </w:r>
      <w:proofErr w:type="spellStart"/>
      <w:r w:rsidRPr="00825003">
        <w:t>lincosamide</w:t>
      </w:r>
      <w:proofErr w:type="spellEnd"/>
      <w:r w:rsidRPr="00825003">
        <w:t xml:space="preserve"> antibiotic that the patient was first given in the ED prior to cultures being completed.  This antibiotic is used to treat serious anaerobic and gram</w:t>
      </w:r>
      <w:r w:rsidRPr="00825003">
        <w:noBreakHyphen/>
        <w:t>positive infections, including skin/soft tissue infections and surgical</w:t>
      </w:r>
      <w:r w:rsidRPr="00825003">
        <w:noBreakHyphen/>
        <w:t xml:space="preserve">site infections.  This patient was </w:t>
      </w:r>
      <w:r w:rsidR="0031171D" w:rsidRPr="00825003">
        <w:t>giv</w:t>
      </w:r>
      <w:r w:rsidR="0031171D">
        <w:t xml:space="preserve">en </w:t>
      </w:r>
      <w:r w:rsidRPr="00825003">
        <w:t>2 g in Dextrose</w:t>
      </w:r>
      <w:r w:rsidR="00F433FB">
        <w:t xml:space="preserve"> while in the ED.</w:t>
      </w:r>
      <w:r w:rsidRPr="00825003">
        <w:t xml:space="preserve">  The typical adult dose is 300–450 mg PO every 6–8 hours for mild to moderate infections, or 600–900 mg IV every 8–12 hours for severe infections, with IV dosages up to 4,800 mg/day used in life</w:t>
      </w:r>
      <w:r w:rsidRPr="00825003">
        <w:noBreakHyphen/>
        <w:t>threatening situations. </w:t>
      </w:r>
      <w:r w:rsidR="00F433FB">
        <w:t xml:space="preserve"> </w:t>
      </w:r>
      <w:r w:rsidR="00F433FB" w:rsidRPr="00F433FB">
        <w:t>(Wolters Kluwer,2023)</w:t>
      </w:r>
      <w:r w:rsidR="00F433FB">
        <w:t xml:space="preserve">. Patients should be questioned about previous allergic reactions prior to administration. As well the routine assessments for vitals, the nurse should also ask about gastrointestinal issues </w:t>
      </w:r>
      <w:proofErr w:type="gramStart"/>
      <w:r w:rsidR="00F433FB">
        <w:t>and  any</w:t>
      </w:r>
      <w:proofErr w:type="gramEnd"/>
      <w:r w:rsidR="00F433FB">
        <w:t xml:space="preserve"> history of gastrointestinal disease.  </w:t>
      </w:r>
      <w:r w:rsidR="00F433FB" w:rsidRPr="00F433FB">
        <w:t>(Wolters Kluwer,2023)</w:t>
      </w:r>
    </w:p>
    <w:p w14:paraId="691F35A7" w14:textId="7745D20F" w:rsidR="00280923" w:rsidRPr="00825003" w:rsidRDefault="00280923" w:rsidP="0031171D">
      <w:pPr>
        <w:pStyle w:val="ListParagraph"/>
      </w:pPr>
    </w:p>
    <w:p w14:paraId="24E9C298" w14:textId="77777777" w:rsidR="00280923" w:rsidRPr="00825003" w:rsidRDefault="00280923" w:rsidP="00280923">
      <w:pPr>
        <w:pStyle w:val="ListParagraph"/>
        <w:rPr>
          <w:rStyle w:val="Strong"/>
          <w:b w:val="0"/>
          <w:bCs w:val="0"/>
        </w:rPr>
      </w:pPr>
    </w:p>
    <w:p w14:paraId="027A3256" w14:textId="6784F204" w:rsidR="00280923" w:rsidRPr="00825003" w:rsidRDefault="00280923" w:rsidP="00E36803">
      <w:pPr>
        <w:pStyle w:val="ListParagraph"/>
        <w:numPr>
          <w:ilvl w:val="0"/>
          <w:numId w:val="18"/>
        </w:numPr>
      </w:pPr>
      <w:r w:rsidRPr="00825003">
        <w:t xml:space="preserve">Insulin Glargine is a long-acting insulin used to provide basal glucose control in patients with type 1 or type 2 diabetes. It is appropriate for this client due to uncontrolled blood sugar and elevated A1C. </w:t>
      </w:r>
      <w:r w:rsidR="0031171D">
        <w:t>D</w:t>
      </w:r>
      <w:r w:rsidRPr="00825003">
        <w:t xml:space="preserve">ose is 10 units subcutaneously once daily, or 0.2 units/kg, with titration </w:t>
      </w:r>
      <w:r w:rsidR="0031171D">
        <w:t xml:space="preserve">active adjusted </w:t>
      </w:r>
      <w:r w:rsidRPr="00825003">
        <w:t>based on fasting glucose readings</w:t>
      </w:r>
      <w:r w:rsidR="0031171D">
        <w:t xml:space="preserve"> while hospitalist establish blood glucose control</w:t>
      </w:r>
      <w:r w:rsidRPr="00825003">
        <w:t>. Assess fasting blood glucose</w:t>
      </w:r>
      <w:r w:rsidR="0031171D">
        <w:t xml:space="preserve"> before meals and at bedtime</w:t>
      </w:r>
      <w:r w:rsidRPr="00825003">
        <w:t>, potassium levels, and signs of hypoglycemia before administration. Evaluate effectiveness by consistent blood glucose control over 24 hours. Educate the patient to take it at the same time daily, rotate injection sites, and recognize signs of hypo- and hyperglycemia.</w:t>
      </w:r>
      <w:r w:rsidR="0031171D">
        <w:t xml:space="preserve"> Monitor for signs of hypoglycemia by observing </w:t>
      </w:r>
      <w:r w:rsidR="00D572F2">
        <w:t xml:space="preserve">neurological symptoms, changes in </w:t>
      </w:r>
      <w:r w:rsidR="0031171D">
        <w:t>mental status</w:t>
      </w:r>
      <w:r w:rsidR="00D572F2">
        <w:t xml:space="preserve">, confusion or slurred speech for example.   Other signs of hypoglycemia include shakiness, tremors, palpitations, diaphoresis. </w:t>
      </w:r>
      <w:r w:rsidR="0031171D">
        <w:t xml:space="preserve"> (Wolters Kluwer, 2023).  Education about diet and insulin ongoing part of diabetes management for patient newly diagnosed.</w:t>
      </w:r>
    </w:p>
    <w:p w14:paraId="5A49F171" w14:textId="77777777" w:rsidR="003B60F0" w:rsidRPr="00825003" w:rsidRDefault="003B60F0" w:rsidP="003B60F0">
      <w:pPr>
        <w:pStyle w:val="ListParagraph"/>
        <w:rPr>
          <w:rStyle w:val="Strong"/>
          <w:b w:val="0"/>
          <w:bCs w:val="0"/>
        </w:rPr>
      </w:pPr>
    </w:p>
    <w:p w14:paraId="7BCB49EF" w14:textId="777F72BD" w:rsidR="003B60F0" w:rsidRDefault="003B60F0" w:rsidP="00F46E86">
      <w:pPr>
        <w:pStyle w:val="ListParagraph"/>
        <w:numPr>
          <w:ilvl w:val="0"/>
          <w:numId w:val="18"/>
        </w:numPr>
      </w:pPr>
      <w:r w:rsidRPr="00825003">
        <w:t>Lactated Ringer’s is an isotonic crystalloid IV fluid used to replace fluid and restore electrolyte balance. It is appropriate for this client due to possible volume depletion from infection, fever, or poor oral intake. It is typically given at 75–125 mL/</w:t>
      </w:r>
      <w:proofErr w:type="spellStart"/>
      <w:r w:rsidRPr="00825003">
        <w:t>hr</w:t>
      </w:r>
      <w:proofErr w:type="spellEnd"/>
      <w:r w:rsidRPr="00825003">
        <w:t xml:space="preserve"> for maintenance or as a 500–1000 mL bolus for resuscitation. The fluid is administered intravenously and should be titrated based on blood pressure, urine output, and serum electrolyte levels. Nurses should assess the client’s hydration status, renal function, and electrolyte panel prior to and during administration. Effectiveness is determined by improvement in vital signs and lab markers of hydration. Patients should be educated about the purpose of the IV fluid and any related monitoring (e.g., urine output).</w:t>
      </w:r>
      <w:r w:rsidR="0031171D">
        <w:t xml:space="preserve"> </w:t>
      </w:r>
      <w:r w:rsidR="0031171D" w:rsidRPr="0031171D">
        <w:t>(Wolters Kluwer, 2023)</w:t>
      </w:r>
    </w:p>
    <w:p w14:paraId="61AB5C3F" w14:textId="77777777" w:rsidR="0031171D" w:rsidRPr="0031171D" w:rsidRDefault="0031171D" w:rsidP="0031171D">
      <w:pPr>
        <w:pStyle w:val="ListParagraph"/>
        <w:rPr>
          <w:rStyle w:val="Strong"/>
          <w:b w:val="0"/>
          <w:bCs w:val="0"/>
        </w:rPr>
      </w:pPr>
    </w:p>
    <w:p w14:paraId="2C4156CA" w14:textId="77777777" w:rsidR="0031171D" w:rsidRPr="0031171D" w:rsidRDefault="0031171D" w:rsidP="0031171D">
      <w:pPr>
        <w:rPr>
          <w:rStyle w:val="Strong"/>
          <w:b w:val="0"/>
          <w:bCs w:val="0"/>
        </w:rPr>
      </w:pPr>
    </w:p>
    <w:p w14:paraId="50CDA1F6" w14:textId="00EC6B0C" w:rsidR="003B60F0" w:rsidRDefault="003B60F0" w:rsidP="00E36803">
      <w:pPr>
        <w:pStyle w:val="ListParagraph"/>
        <w:numPr>
          <w:ilvl w:val="0"/>
          <w:numId w:val="18"/>
        </w:numPr>
      </w:pPr>
      <w:r w:rsidRPr="00825003">
        <w:t>Insulin Lispro is a rapid-acting insulin given a</w:t>
      </w:r>
      <w:r w:rsidR="0031171D">
        <w:t>t</w:t>
      </w:r>
      <w:r w:rsidRPr="00825003">
        <w:t xml:space="preserve"> mealtimes to manage postprandial glucose spikes. It is appropriate for this client due to</w:t>
      </w:r>
      <w:r w:rsidR="0031171D">
        <w:t xml:space="preserve"> consistently elevated blood glucose levels </w:t>
      </w:r>
      <w:r w:rsidRPr="00825003">
        <w:t>hyperglycemi</w:t>
      </w:r>
      <w:r w:rsidR="0031171D">
        <w:t xml:space="preserve">a. </w:t>
      </w:r>
      <w:r w:rsidRPr="00825003">
        <w:t xml:space="preserve"> Doses are individualized but generally part of a total daily insulin requirement divided among meals. It is administered subcutaneously 15 minutes before or immediately after eating. Blood glucose levels should be checked before administration, and intake should be confirmed to prevent hypoglycemia. Effectiveness is seen in appropriate post-meal blood sugar levels. Educate the patient to always eat after taking lispro and be alert to symptoms of low blood sugar.</w:t>
      </w:r>
      <w:r w:rsidR="00D572F2">
        <w:t xml:space="preserve"> (Wolters Kluwer, 2023)</w:t>
      </w:r>
    </w:p>
    <w:p w14:paraId="04797659" w14:textId="77777777" w:rsidR="00D572F2" w:rsidRDefault="00D572F2" w:rsidP="00D572F2">
      <w:pPr>
        <w:pStyle w:val="ListParagraph"/>
      </w:pPr>
    </w:p>
    <w:p w14:paraId="693D5D60" w14:textId="0D2C7A05" w:rsidR="00280923" w:rsidRPr="00825003" w:rsidRDefault="00D572F2" w:rsidP="00586D50">
      <w:pPr>
        <w:pStyle w:val="ListParagraph"/>
        <w:numPr>
          <w:ilvl w:val="0"/>
          <w:numId w:val="18"/>
        </w:numPr>
        <w:rPr>
          <w:rStyle w:val="Strong"/>
        </w:rPr>
      </w:pPr>
      <w:r w:rsidRPr="00D572F2">
        <w:rPr>
          <w:rStyle w:val="Strong"/>
        </w:rPr>
        <w:t xml:space="preserve">I’m </w:t>
      </w:r>
      <w:r>
        <w:rPr>
          <w:b/>
          <w:bCs/>
        </w:rPr>
        <w:t>not sure if this is</w:t>
      </w:r>
      <w:r w:rsidRPr="00D572F2">
        <w:rPr>
          <w:b/>
          <w:bCs/>
        </w:rPr>
        <w:t xml:space="preserve"> specifically a medication but a product used in the patient’s wound cleaning.  </w:t>
      </w:r>
      <w:r w:rsidR="00280923" w:rsidRPr="00825003">
        <w:t xml:space="preserve">Dakin’s Solution was referred to as a medical bleach, a diluted sodium hypochlorite antiseptic, used topically to cleanse and reduce bacteria in infected wounds. It was appropriate for this client given the presence of purulent drainage and slow wound healing. It is typically applied as a moist dressing for 5–15 minutes, once or twice daily, depending on wound severity and provider orders.  Prior to use, </w:t>
      </w:r>
      <w:r>
        <w:t xml:space="preserve">nurse should </w:t>
      </w:r>
      <w:r w:rsidR="00280923" w:rsidRPr="00825003">
        <w:t xml:space="preserve">assess </w:t>
      </w:r>
      <w:r>
        <w:t xml:space="preserve">for any known allergies, assess the </w:t>
      </w:r>
      <w:r w:rsidR="00280923" w:rsidRPr="00825003">
        <w:t xml:space="preserve">wound for </w:t>
      </w:r>
      <w:r>
        <w:t>the</w:t>
      </w:r>
      <w:r w:rsidR="00280923" w:rsidRPr="00825003">
        <w:t xml:space="preserve"> surrounding skin </w:t>
      </w:r>
      <w:r>
        <w:t xml:space="preserve">and wound </w:t>
      </w:r>
      <w:r w:rsidR="00280923" w:rsidRPr="00825003">
        <w:t xml:space="preserve">integrity. Effectiveness </w:t>
      </w:r>
      <w:r>
        <w:t xml:space="preserve">of this cleaning solution </w:t>
      </w:r>
      <w:r w:rsidR="00280923" w:rsidRPr="00825003">
        <w:t xml:space="preserve">is observed through decreased foul odor and reduced purulent drainage.  Signs of </w:t>
      </w:r>
      <w:r>
        <w:t xml:space="preserve">wound </w:t>
      </w:r>
      <w:r w:rsidR="00280923" w:rsidRPr="00825003">
        <w:t>healing should also be note</w:t>
      </w:r>
      <w:r>
        <w:t xml:space="preserve">d </w:t>
      </w:r>
      <w:r w:rsidR="00280923" w:rsidRPr="00825003">
        <w:t xml:space="preserve">as the signs of infection recede.  Patient’s education is important as the solution may sting when applied.  </w:t>
      </w:r>
      <w:r>
        <w:t>(</w:t>
      </w:r>
      <w:r w:rsidRPr="00D572F2">
        <w:t>U.S. National Library of Medicine</w:t>
      </w:r>
      <w:r>
        <w:t xml:space="preserve">, </w:t>
      </w:r>
      <w:proofErr w:type="spellStart"/>
      <w:r>
        <w:t>n.d</w:t>
      </w:r>
      <w:proofErr w:type="spellEnd"/>
      <w:r>
        <w:t>)</w:t>
      </w:r>
    </w:p>
    <w:bookmarkEnd w:id="1"/>
    <w:p w14:paraId="3D4F6672" w14:textId="754C83D4" w:rsidR="00586D50" w:rsidRDefault="00586D50"/>
    <w:p w14:paraId="30BAF46A" w14:textId="35D961A7" w:rsidR="00B97090" w:rsidRDefault="00B97090" w:rsidP="00B97090">
      <w:pPr>
        <w:spacing w:after="0"/>
      </w:pPr>
      <w:r>
        <w:t>Student Name:</w:t>
      </w:r>
      <w:r w:rsidRPr="00FC25D5">
        <w:rPr>
          <w:noProof/>
        </w:rPr>
        <w:t xml:space="preserve"> </w:t>
      </w:r>
      <w:r w:rsidR="000931C2">
        <w:rPr>
          <w:noProof/>
        </w:rPr>
        <w:t>Mary Egan</w:t>
      </w:r>
    </w:p>
    <w:p w14:paraId="50218367" w14:textId="72D18871" w:rsidR="00B97090" w:rsidRDefault="00B97090" w:rsidP="00B97090">
      <w:r>
        <w:t>Course Number and Name:</w:t>
      </w:r>
      <w:r w:rsidR="000931C2">
        <w:t>417 315</w:t>
      </w:r>
    </w:p>
    <w:p w14:paraId="25439ACE" w14:textId="77777777" w:rsidR="00D572F2" w:rsidRDefault="00D572F2" w:rsidP="001068B7">
      <w:pPr>
        <w:pStyle w:val="Heading2"/>
        <w:jc w:val="center"/>
      </w:pPr>
    </w:p>
    <w:p w14:paraId="034A7822" w14:textId="77777777" w:rsidR="00D572F2" w:rsidRDefault="00D572F2" w:rsidP="001068B7">
      <w:pPr>
        <w:pStyle w:val="Heading2"/>
        <w:jc w:val="center"/>
      </w:pPr>
    </w:p>
    <w:p w14:paraId="768D709B" w14:textId="2D968A75" w:rsidR="00586D50" w:rsidRDefault="00586D50" w:rsidP="001068B7">
      <w:pPr>
        <w:pStyle w:val="Heading2"/>
        <w:jc w:val="center"/>
      </w:pPr>
      <w:r w:rsidRPr="00586D50">
        <w:t>References</w:t>
      </w:r>
    </w:p>
    <w:p w14:paraId="29433BD1" w14:textId="77777777" w:rsidR="00EE4606" w:rsidRDefault="00EE4606" w:rsidP="00EE4606"/>
    <w:p w14:paraId="15ED4302" w14:textId="77777777" w:rsidR="00EE4606" w:rsidRDefault="00EE4606" w:rsidP="00EE4606"/>
    <w:p w14:paraId="61A965AF" w14:textId="77777777" w:rsidR="00EE4606" w:rsidRDefault="00EE4606" w:rsidP="00EE4606">
      <w:pPr>
        <w:rPr>
          <w:i/>
          <w:iCs/>
        </w:rPr>
      </w:pPr>
      <w:r w:rsidRPr="00EE4606">
        <w:t>American Association of Clinical Endocrinology. (2023). </w:t>
      </w:r>
      <w:r w:rsidRPr="00EE4606">
        <w:rPr>
          <w:i/>
          <w:iCs/>
        </w:rPr>
        <w:t xml:space="preserve">AACE clinical practice guideline for developing a diabetes </w:t>
      </w:r>
    </w:p>
    <w:p w14:paraId="5D6A0B69" w14:textId="431B43BD" w:rsidR="00EE4606" w:rsidRDefault="00EE4606" w:rsidP="00EE4606">
      <w:pPr>
        <w:ind w:firstLine="720"/>
      </w:pPr>
      <w:r w:rsidRPr="00EE4606">
        <w:rPr>
          <w:i/>
          <w:iCs/>
        </w:rPr>
        <w:t>comprehensive care plan—2022 update</w:t>
      </w:r>
      <w:r w:rsidRPr="00EE4606">
        <w:t>. </w:t>
      </w:r>
      <w:hyperlink r:id="rId13" w:history="1">
        <w:r w:rsidRPr="00EE4606">
          <w:rPr>
            <w:rStyle w:val="Hyperlink"/>
          </w:rPr>
          <w:t>https://pro.aace.com/recommendations/diabetes-clinical-</w:t>
        </w:r>
      </w:hyperlink>
    </w:p>
    <w:p w14:paraId="30CE9FDE" w14:textId="3AAEC28A" w:rsidR="00EE4606" w:rsidRDefault="00EE4606" w:rsidP="00EE4606">
      <w:pPr>
        <w:ind w:left="720"/>
      </w:pPr>
      <w:r w:rsidRPr="00EE4606">
        <w:t>practice-guideline</w:t>
      </w:r>
    </w:p>
    <w:p w14:paraId="334E4E5B" w14:textId="77777777" w:rsidR="007329CF" w:rsidRDefault="007329CF" w:rsidP="007329CF">
      <w:pPr>
        <w:rPr>
          <w:i/>
          <w:iCs/>
        </w:rPr>
      </w:pPr>
      <w:r w:rsidRPr="007329CF">
        <w:t>Basile, L. A., et al. (2020). </w:t>
      </w:r>
      <w:r w:rsidRPr="007329CF">
        <w:rPr>
          <w:i/>
          <w:iCs/>
        </w:rPr>
        <w:t xml:space="preserve">Morphological changes in white blood cells in systemic inflammatory response </w:t>
      </w:r>
    </w:p>
    <w:p w14:paraId="62B52E0B" w14:textId="5FDCC3BF" w:rsidR="007329CF" w:rsidRDefault="007329CF" w:rsidP="007329CF">
      <w:pPr>
        <w:ind w:firstLine="720"/>
      </w:pPr>
      <w:r w:rsidRPr="007329CF">
        <w:rPr>
          <w:i/>
          <w:iCs/>
        </w:rPr>
        <w:t>syndrome and sepsis</w:t>
      </w:r>
      <w:r w:rsidRPr="007329CF">
        <w:t>. </w:t>
      </w:r>
      <w:r w:rsidRPr="007329CF">
        <w:rPr>
          <w:i/>
          <w:iCs/>
        </w:rPr>
        <w:t>Laboratory Medicine</w:t>
      </w:r>
      <w:r w:rsidRPr="007329CF">
        <w:t>, 51(3), 205–213. </w:t>
      </w:r>
      <w:hyperlink r:id="rId14" w:tgtFrame="_new" w:history="1">
        <w:r w:rsidRPr="007329CF">
          <w:rPr>
            <w:rStyle w:val="Hyperlink"/>
          </w:rPr>
          <w:t>https://doi.org/10.1093/labmed/lmaa021</w:t>
        </w:r>
      </w:hyperlink>
    </w:p>
    <w:p w14:paraId="2CF091C2" w14:textId="77777777" w:rsidR="00F42A78" w:rsidRDefault="00F42A78" w:rsidP="00F42A78">
      <w:r w:rsidRPr="00F42A78">
        <w:t>Cleveland Clinic. (2023, January 19). Sepsis: Causes, symptoms, treatment &amp; prevention. Retrieved May</w:t>
      </w:r>
      <w:r>
        <w:t xml:space="preserve"> </w:t>
      </w:r>
      <w:r w:rsidRPr="00F42A78">
        <w:t xml:space="preserve">2023, </w:t>
      </w:r>
    </w:p>
    <w:p w14:paraId="115A4DF8" w14:textId="7D3D1F8E" w:rsidR="00F42A78" w:rsidRDefault="00F42A78" w:rsidP="00F42A78">
      <w:pPr>
        <w:ind w:firstLine="720"/>
      </w:pPr>
      <w:r w:rsidRPr="00F42A78">
        <w:t>from </w:t>
      </w:r>
      <w:hyperlink r:id="rId15" w:history="1">
        <w:r w:rsidRPr="00F42A78">
          <w:rPr>
            <w:rStyle w:val="Hyperlink"/>
          </w:rPr>
          <w:t>https://my.clevelandclinic.org/health/diseases/12361-sepsis</w:t>
        </w:r>
      </w:hyperlink>
    </w:p>
    <w:p w14:paraId="76BC6FD6" w14:textId="77777777" w:rsidR="0009319A" w:rsidRDefault="0009319A" w:rsidP="0009319A">
      <w:r w:rsidRPr="0009319A">
        <w:t>Costantini, E., Carlin, M., Porta, M. </w:t>
      </w:r>
      <w:r w:rsidRPr="0009319A">
        <w:rPr>
          <w:i/>
          <w:iCs/>
        </w:rPr>
        <w:t>et al.</w:t>
      </w:r>
      <w:r w:rsidRPr="0009319A">
        <w:t xml:space="preserve"> Type 2 diabetes mellitus and sepsis: state of the art, certainties and </w:t>
      </w:r>
    </w:p>
    <w:p w14:paraId="17321306" w14:textId="4C1210F3" w:rsidR="00F42A78" w:rsidRDefault="0009319A" w:rsidP="0009319A">
      <w:pPr>
        <w:ind w:firstLine="720"/>
      </w:pPr>
      <w:r w:rsidRPr="0009319A">
        <w:t>missing evidence. </w:t>
      </w:r>
      <w:r w:rsidRPr="0009319A">
        <w:rPr>
          <w:i/>
          <w:iCs/>
        </w:rPr>
        <w:t xml:space="preserve">Acta </w:t>
      </w:r>
      <w:proofErr w:type="spellStart"/>
      <w:r w:rsidRPr="0009319A">
        <w:rPr>
          <w:i/>
          <w:iCs/>
        </w:rPr>
        <w:t>Diabetol</w:t>
      </w:r>
      <w:proofErr w:type="spellEnd"/>
      <w:r w:rsidRPr="0009319A">
        <w:t> </w:t>
      </w:r>
      <w:r w:rsidRPr="0009319A">
        <w:rPr>
          <w:b/>
          <w:bCs/>
        </w:rPr>
        <w:t>58</w:t>
      </w:r>
      <w:r w:rsidRPr="0009319A">
        <w:t xml:space="preserve">, 1139–1151 (2021). </w:t>
      </w:r>
      <w:hyperlink r:id="rId16" w:history="1">
        <w:r w:rsidRPr="00A4182D">
          <w:rPr>
            <w:rStyle w:val="Hyperlink"/>
          </w:rPr>
          <w:t>https://doi.org/10</w:t>
        </w:r>
        <w:r w:rsidRPr="00A4182D">
          <w:rPr>
            <w:rStyle w:val="Hyperlink"/>
          </w:rPr>
          <w:t>.</w:t>
        </w:r>
        <w:r w:rsidRPr="00A4182D">
          <w:rPr>
            <w:rStyle w:val="Hyperlink"/>
          </w:rPr>
          <w:t>1007/s00592-021-01728-4</w:t>
        </w:r>
      </w:hyperlink>
    </w:p>
    <w:p w14:paraId="64F4263A" w14:textId="634E83CA" w:rsidR="00EE4606" w:rsidRDefault="00EE4606" w:rsidP="00EE4606">
      <w:pPr>
        <w:rPr>
          <w:i/>
          <w:iCs/>
        </w:rPr>
      </w:pPr>
      <w:r w:rsidRPr="00EE4606">
        <w:lastRenderedPageBreak/>
        <w:t>Harding, M. M., Kwong, J., Roberts, D., Hagler, D., &amp; Reinisch, C. (2024). </w:t>
      </w:r>
      <w:r w:rsidRPr="00EE4606">
        <w:rPr>
          <w:i/>
          <w:iCs/>
        </w:rPr>
        <w:t xml:space="preserve">Lewis’s medical-surgical nursing: </w:t>
      </w:r>
    </w:p>
    <w:p w14:paraId="01D7E683" w14:textId="08028D52" w:rsidR="00EE4606" w:rsidRDefault="00EE4606" w:rsidP="00EE4606">
      <w:pPr>
        <w:ind w:firstLine="720"/>
      </w:pPr>
      <w:r w:rsidRPr="00EE4606">
        <w:rPr>
          <w:i/>
          <w:iCs/>
        </w:rPr>
        <w:t>Assessment and management of clinical problems</w:t>
      </w:r>
      <w:r w:rsidRPr="00EE4606">
        <w:t> (12th ed.). Elsevier.</w:t>
      </w:r>
    </w:p>
    <w:p w14:paraId="25437834" w14:textId="77777777" w:rsidR="00CB7DE6" w:rsidRDefault="00CB7DE6" w:rsidP="00CB7DE6"/>
    <w:p w14:paraId="1869E7F3" w14:textId="5B9952E0" w:rsidR="00CB7DE6" w:rsidRDefault="00CB7DE6" w:rsidP="00CB7DE6">
      <w:r w:rsidRPr="00CB7DE6">
        <w:t>Mahapatra, S., &amp; Heffner, A. C</w:t>
      </w:r>
      <w:r w:rsidRPr="00CB7DE6">
        <w:rPr>
          <w:b/>
          <w:bCs/>
        </w:rPr>
        <w:t>.</w:t>
      </w:r>
      <w:r w:rsidRPr="00CB7DE6">
        <w:t> (2023). </w:t>
      </w:r>
      <w:r w:rsidRPr="00CB7DE6">
        <w:rPr>
          <w:i/>
          <w:iCs/>
        </w:rPr>
        <w:t>Septic shock</w:t>
      </w:r>
      <w:r w:rsidRPr="00CB7DE6">
        <w:t>. In </w:t>
      </w:r>
      <w:proofErr w:type="spellStart"/>
      <w:r w:rsidRPr="00CB7DE6">
        <w:rPr>
          <w:i/>
          <w:iCs/>
        </w:rPr>
        <w:t>StatPearls</w:t>
      </w:r>
      <w:proofErr w:type="spellEnd"/>
      <w:r w:rsidRPr="00CB7DE6">
        <w:t xml:space="preserve">. </w:t>
      </w:r>
      <w:proofErr w:type="spellStart"/>
      <w:r w:rsidRPr="00CB7DE6">
        <w:t>StatPearls</w:t>
      </w:r>
      <w:proofErr w:type="spellEnd"/>
      <w:r w:rsidRPr="00CB7DE6">
        <w:t xml:space="preserve"> Publishing. </w:t>
      </w:r>
    </w:p>
    <w:p w14:paraId="6A4680BA" w14:textId="31E7B829" w:rsidR="00CB7DE6" w:rsidRDefault="00CB7DE6" w:rsidP="00CB7DE6">
      <w:r>
        <w:tab/>
      </w:r>
      <w:r w:rsidRPr="00CB7DE6">
        <w:t>https://www.ncbi.nlm.nih.gov/books/NBK430939/</w:t>
      </w:r>
    </w:p>
    <w:p w14:paraId="6D6E8538" w14:textId="77777777" w:rsidR="00B61E7C" w:rsidRDefault="00B61E7C" w:rsidP="00B61E7C">
      <w:pPr>
        <w:rPr>
          <w:i/>
          <w:iCs/>
        </w:rPr>
      </w:pPr>
      <w:r w:rsidRPr="00CB7DE6">
        <w:t>Steele, C</w:t>
      </w:r>
      <w:r w:rsidRPr="00B61E7C">
        <w:rPr>
          <w:b/>
          <w:bCs/>
        </w:rPr>
        <w:t>.</w:t>
      </w:r>
      <w:r w:rsidRPr="00B61E7C">
        <w:t> (2022). </w:t>
      </w:r>
      <w:r w:rsidRPr="00B61E7C">
        <w:rPr>
          <w:i/>
          <w:iCs/>
        </w:rPr>
        <w:t xml:space="preserve">Lactobacillus </w:t>
      </w:r>
      <w:proofErr w:type="spellStart"/>
      <w:r w:rsidRPr="00B61E7C">
        <w:rPr>
          <w:i/>
          <w:iCs/>
        </w:rPr>
        <w:t>rhamnosus</w:t>
      </w:r>
      <w:proofErr w:type="spellEnd"/>
      <w:r w:rsidRPr="00B61E7C">
        <w:rPr>
          <w:i/>
          <w:iCs/>
        </w:rPr>
        <w:t xml:space="preserve"> GG: A Review of Clinical Use and Efficacy</w:t>
      </w:r>
      <w:r w:rsidRPr="00B61E7C">
        <w:t>. </w:t>
      </w:r>
      <w:r w:rsidRPr="00B61E7C">
        <w:rPr>
          <w:i/>
          <w:iCs/>
        </w:rPr>
        <w:t xml:space="preserve">Nutrition Medicine Journal, </w:t>
      </w:r>
    </w:p>
    <w:p w14:paraId="0AD74173" w14:textId="10E99E67" w:rsidR="00F433FB" w:rsidRDefault="00B61E7C" w:rsidP="00B61E7C">
      <w:pPr>
        <w:ind w:firstLine="720"/>
      </w:pPr>
      <w:r w:rsidRPr="00B61E7C">
        <w:rPr>
          <w:i/>
          <w:iCs/>
        </w:rPr>
        <w:t>1</w:t>
      </w:r>
      <w:r w:rsidRPr="00B61E7C">
        <w:t>(3), 70–116.</w:t>
      </w:r>
    </w:p>
    <w:p w14:paraId="4910B299" w14:textId="77777777" w:rsidR="00825003" w:rsidRDefault="00825003" w:rsidP="00825003">
      <w:r w:rsidRPr="00825003">
        <w:t>Pagana, K. D., Pagana, T. J., &amp; Pagana, T. N. (2025). </w:t>
      </w:r>
      <w:r w:rsidRPr="00825003">
        <w:rPr>
          <w:i/>
          <w:iCs/>
        </w:rPr>
        <w:t>Mosby’s diagnostic and laboratory test reference</w:t>
      </w:r>
      <w:r w:rsidRPr="00825003">
        <w:t xml:space="preserve"> (17th ed.). </w:t>
      </w:r>
    </w:p>
    <w:p w14:paraId="62E97498" w14:textId="54F1532C" w:rsidR="00825003" w:rsidRDefault="00825003" w:rsidP="00825003">
      <w:pPr>
        <w:ind w:firstLine="720"/>
      </w:pPr>
      <w:r w:rsidRPr="00825003">
        <w:t>Elsevier Mosby.</w:t>
      </w:r>
    </w:p>
    <w:p w14:paraId="1FADB865" w14:textId="77777777" w:rsidR="00C976E4" w:rsidRDefault="00C976E4" w:rsidP="00C976E4">
      <w:r w:rsidRPr="00C976E4">
        <w:t>Pfizer, Inc. (2023). </w:t>
      </w:r>
      <w:proofErr w:type="spellStart"/>
      <w:r w:rsidRPr="00C976E4">
        <w:rPr>
          <w:i/>
          <w:iCs/>
        </w:rPr>
        <w:t>Dilaudid</w:t>
      </w:r>
      <w:proofErr w:type="spellEnd"/>
      <w:r w:rsidRPr="00C976E4">
        <w:rPr>
          <w:i/>
          <w:iCs/>
        </w:rPr>
        <w:t xml:space="preserve"> (hydromorphone hydrochloride) injection prescribing information</w:t>
      </w:r>
      <w:r w:rsidRPr="00C976E4">
        <w:t xml:space="preserve"> [FDA label]. </w:t>
      </w:r>
    </w:p>
    <w:p w14:paraId="3F7C7E79" w14:textId="650B6F06" w:rsidR="00C976E4" w:rsidRDefault="00C976E4" w:rsidP="00C976E4">
      <w:r>
        <w:tab/>
      </w:r>
      <w:hyperlink r:id="rId17" w:history="1">
        <w:r w:rsidR="003B60F0" w:rsidRPr="00A4182D">
          <w:rPr>
            <w:rStyle w:val="Hyperlink"/>
          </w:rPr>
          <w:t>https://www.accessdata.fda.gov/drugsatfda_docs/label/2023/019034s046lbl.pdf</w:t>
        </w:r>
      </w:hyperlink>
    </w:p>
    <w:p w14:paraId="502D5ABE" w14:textId="77777777" w:rsidR="00BD57A6" w:rsidRDefault="00BD57A6" w:rsidP="00C976E4">
      <w:r w:rsidRPr="00BD57A6">
        <w:t xml:space="preserve">Rhodes, A., Evans, L.E., </w:t>
      </w:r>
      <w:proofErr w:type="spellStart"/>
      <w:r w:rsidRPr="00BD57A6">
        <w:t>Alhazzani</w:t>
      </w:r>
      <w:proofErr w:type="spellEnd"/>
      <w:r w:rsidRPr="00BD57A6">
        <w:t>, W. </w:t>
      </w:r>
      <w:r w:rsidRPr="00BD57A6">
        <w:rPr>
          <w:i/>
          <w:iCs/>
        </w:rPr>
        <w:t>et al.</w:t>
      </w:r>
      <w:r w:rsidRPr="00BD57A6">
        <w:t xml:space="preserve"> Surviving Sepsis Campaign: International Guidelines for Management </w:t>
      </w:r>
    </w:p>
    <w:p w14:paraId="2CB05B4C" w14:textId="20A6E5FE" w:rsidR="00BD57A6" w:rsidRDefault="00BD57A6" w:rsidP="00BD57A6">
      <w:pPr>
        <w:ind w:firstLine="720"/>
        <w:rPr>
          <w:i/>
          <w:iCs/>
        </w:rPr>
      </w:pPr>
      <w:r w:rsidRPr="00BD57A6">
        <w:t>of Sepsis and Septic Shock: 2016. </w:t>
      </w:r>
      <w:r w:rsidRPr="00BD57A6">
        <w:rPr>
          <w:i/>
          <w:iCs/>
        </w:rPr>
        <w:t>Intensive Care Med</w:t>
      </w:r>
      <w:r>
        <w:rPr>
          <w:i/>
          <w:iCs/>
        </w:rPr>
        <w:t xml:space="preserve">.  </w:t>
      </w:r>
      <w:hyperlink r:id="rId18" w:history="1">
        <w:r w:rsidRPr="00A4182D">
          <w:rPr>
            <w:rStyle w:val="Hyperlink"/>
            <w:i/>
            <w:iCs/>
          </w:rPr>
          <w:t>https://link.springer.com/article/10.1007/s00134-</w:t>
        </w:r>
      </w:hyperlink>
    </w:p>
    <w:p w14:paraId="55C39AE0" w14:textId="5F85D7B0" w:rsidR="00BD57A6" w:rsidRDefault="00BD57A6" w:rsidP="00BD57A6">
      <w:pPr>
        <w:ind w:firstLine="720"/>
      </w:pPr>
      <w:r w:rsidRPr="00BD57A6">
        <w:rPr>
          <w:i/>
          <w:iCs/>
        </w:rPr>
        <w:t>017-4683-6#citeas</w:t>
      </w:r>
    </w:p>
    <w:p w14:paraId="10D41872" w14:textId="16E84C68" w:rsidR="003B60F0" w:rsidRDefault="003B60F0" w:rsidP="00C976E4">
      <w:r w:rsidRPr="003B60F0">
        <w:t>U.S. National Library of Medicine. (n.d.). </w:t>
      </w:r>
      <w:r w:rsidRPr="003B60F0">
        <w:rPr>
          <w:i/>
          <w:iCs/>
        </w:rPr>
        <w:t>Sodium hypochlorite (Dakin’s solution)</w:t>
      </w:r>
      <w:r w:rsidRPr="003B60F0">
        <w:t>. In </w:t>
      </w:r>
      <w:proofErr w:type="spellStart"/>
      <w:r w:rsidRPr="003B60F0">
        <w:rPr>
          <w:i/>
          <w:iCs/>
        </w:rPr>
        <w:t>DailyMed</w:t>
      </w:r>
      <w:proofErr w:type="spellEnd"/>
      <w:r w:rsidRPr="003B60F0">
        <w:t xml:space="preserve">. </w:t>
      </w:r>
    </w:p>
    <w:p w14:paraId="2E5237F9" w14:textId="5B4C3DB6" w:rsidR="003B60F0" w:rsidRDefault="003B60F0" w:rsidP="003B60F0">
      <w:pPr>
        <w:ind w:firstLine="720"/>
      </w:pPr>
      <w:r w:rsidRPr="003B60F0">
        <w:t> </w:t>
      </w:r>
      <w:hyperlink r:id="rId19" w:tgtFrame="_new" w:history="1">
        <w:r w:rsidRPr="003B60F0">
          <w:rPr>
            <w:rStyle w:val="Hyperlink"/>
          </w:rPr>
          <w:t>https://dailymed.nlm.nih.gov/dailymed/drugInfo.cfm?setid=19c22c9d-ece7-4a61-a376-8e7389e51d4d</w:t>
        </w:r>
      </w:hyperlink>
    </w:p>
    <w:p w14:paraId="5884BD35" w14:textId="7C5B629A" w:rsidR="003B60F0" w:rsidRPr="00EE4606" w:rsidRDefault="003B60F0" w:rsidP="003B60F0">
      <w:r w:rsidRPr="003B60F0">
        <w:t>Wolters Kluwer. (2023). </w:t>
      </w:r>
      <w:r w:rsidRPr="003B60F0">
        <w:rPr>
          <w:i/>
          <w:iCs/>
        </w:rPr>
        <w:t>Lippincott nursing drug guide 2023</w:t>
      </w:r>
      <w:r w:rsidRPr="003B60F0">
        <w:t>. Wolters Kluwer Health</w:t>
      </w:r>
    </w:p>
    <w:p w14:paraId="3C1B113A" w14:textId="77777777" w:rsidR="00EE4606" w:rsidRPr="00EE4606" w:rsidRDefault="00EE4606" w:rsidP="00EE4606"/>
    <w:p w14:paraId="51B5D54E" w14:textId="77777777" w:rsidR="00CF2224" w:rsidRDefault="00CF2224" w:rsidP="00CF2224"/>
    <w:p w14:paraId="6ABDD527" w14:textId="77777777" w:rsidR="00CF2224" w:rsidRDefault="00CF2224" w:rsidP="00CF2224"/>
    <w:sectPr w:rsidR="00CF2224" w:rsidSect="00586D5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2C77" w14:textId="77777777" w:rsidR="0079584C" w:rsidRDefault="0079584C" w:rsidP="00E57F67">
      <w:pPr>
        <w:spacing w:after="0" w:line="240" w:lineRule="auto"/>
      </w:pPr>
      <w:r>
        <w:separator/>
      </w:r>
    </w:p>
  </w:endnote>
  <w:endnote w:type="continuationSeparator" w:id="0">
    <w:p w14:paraId="7A3C5BB5" w14:textId="77777777" w:rsidR="0079584C" w:rsidRDefault="0079584C" w:rsidP="00E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9111" w14:textId="77777777" w:rsidR="00DE4203" w:rsidRDefault="00DE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E85E" w14:textId="77777777" w:rsidR="00DE4203" w:rsidRDefault="00DE4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F5B1" w14:textId="77777777" w:rsidR="00DE4203" w:rsidRDefault="00DE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898D" w14:textId="77777777" w:rsidR="0079584C" w:rsidRDefault="0079584C" w:rsidP="00E57F67">
      <w:pPr>
        <w:spacing w:after="0" w:line="240" w:lineRule="auto"/>
      </w:pPr>
      <w:r>
        <w:separator/>
      </w:r>
    </w:p>
  </w:footnote>
  <w:footnote w:type="continuationSeparator" w:id="0">
    <w:p w14:paraId="263055C0" w14:textId="77777777" w:rsidR="0079584C" w:rsidRDefault="0079584C" w:rsidP="00E5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C24F" w14:textId="77777777" w:rsidR="00DE4203" w:rsidRDefault="00DE4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722B" w14:textId="77777777" w:rsidR="00E57F67" w:rsidRDefault="00E91DF7" w:rsidP="00CB1A4E">
    <w:pPr>
      <w:pStyle w:val="Header"/>
    </w:pPr>
    <w:r>
      <w:rPr>
        <w:noProof/>
      </w:rPr>
      <w:drawing>
        <wp:inline distT="0" distB="0" distL="0" distR="0" wp14:anchorId="66CDBC67" wp14:editId="7DC1A224">
          <wp:extent cx="2377440" cy="576072"/>
          <wp:effectExtent l="0" t="0" r="3810" b="0"/>
          <wp:docPr id="7" name="CSP Logo"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P_Full_H2_Blue-Gold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576072"/>
                  </a:xfrm>
                  <a:prstGeom prst="rect">
                    <a:avLst/>
                  </a:prstGeom>
                </pic:spPr>
              </pic:pic>
            </a:graphicData>
          </a:graphic>
        </wp:inline>
      </w:drawing>
    </w:r>
    <w:r w:rsidR="00E57F6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D7E0" w14:textId="77777777" w:rsidR="00DE4203" w:rsidRDefault="00DE4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5CD"/>
    <w:multiLevelType w:val="hybridMultilevel"/>
    <w:tmpl w:val="A280B078"/>
    <w:lvl w:ilvl="0" w:tplc="F4A870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45FD"/>
    <w:multiLevelType w:val="hybridMultilevel"/>
    <w:tmpl w:val="94B08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3A7C"/>
    <w:multiLevelType w:val="hybridMultilevel"/>
    <w:tmpl w:val="C4A6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01483"/>
    <w:multiLevelType w:val="hybridMultilevel"/>
    <w:tmpl w:val="1264FCAE"/>
    <w:lvl w:ilvl="0" w:tplc="14A699BA">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A196C"/>
    <w:multiLevelType w:val="hybridMultilevel"/>
    <w:tmpl w:val="F3B6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44F4F"/>
    <w:multiLevelType w:val="multilevel"/>
    <w:tmpl w:val="B194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B29FB"/>
    <w:multiLevelType w:val="multilevel"/>
    <w:tmpl w:val="6F4E9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04E89"/>
    <w:multiLevelType w:val="hybridMultilevel"/>
    <w:tmpl w:val="C0701B7E"/>
    <w:lvl w:ilvl="0" w:tplc="1CE4AD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46E91"/>
    <w:multiLevelType w:val="hybridMultilevel"/>
    <w:tmpl w:val="0C7C3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4666E"/>
    <w:multiLevelType w:val="hybridMultilevel"/>
    <w:tmpl w:val="9BC8B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D6B1B"/>
    <w:multiLevelType w:val="multilevel"/>
    <w:tmpl w:val="74B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81D6D"/>
    <w:multiLevelType w:val="multilevel"/>
    <w:tmpl w:val="394A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35015"/>
    <w:multiLevelType w:val="hybridMultilevel"/>
    <w:tmpl w:val="DB804C02"/>
    <w:lvl w:ilvl="0" w:tplc="B9E4D5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85C66"/>
    <w:multiLevelType w:val="hybridMultilevel"/>
    <w:tmpl w:val="0AF6E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34226"/>
    <w:multiLevelType w:val="hybridMultilevel"/>
    <w:tmpl w:val="F5CE7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34550"/>
    <w:multiLevelType w:val="hybridMultilevel"/>
    <w:tmpl w:val="A700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C0EA2"/>
    <w:multiLevelType w:val="multilevel"/>
    <w:tmpl w:val="3A58C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C35B96"/>
    <w:multiLevelType w:val="hybridMultilevel"/>
    <w:tmpl w:val="8A50816E"/>
    <w:lvl w:ilvl="0" w:tplc="B9E4D5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D2ED6"/>
    <w:multiLevelType w:val="hybridMultilevel"/>
    <w:tmpl w:val="57606F4A"/>
    <w:lvl w:ilvl="0" w:tplc="F4A8708C">
      <w:start w:val="1"/>
      <w:numFmt w:val="decimal"/>
      <w:lvlText w:val="(%1)"/>
      <w:lvlJc w:val="left"/>
      <w:pPr>
        <w:ind w:left="1080" w:hanging="720"/>
      </w:pPr>
      <w:rPr>
        <w:rFonts w:hint="default"/>
      </w:rPr>
    </w:lvl>
    <w:lvl w:ilvl="1" w:tplc="EE248BC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684748">
    <w:abstractNumId w:val="8"/>
  </w:num>
  <w:num w:numId="2" w16cid:durableId="9110634">
    <w:abstractNumId w:val="17"/>
  </w:num>
  <w:num w:numId="3" w16cid:durableId="2120298980">
    <w:abstractNumId w:val="12"/>
  </w:num>
  <w:num w:numId="4" w16cid:durableId="826632505">
    <w:abstractNumId w:val="1"/>
  </w:num>
  <w:num w:numId="5" w16cid:durableId="256596167">
    <w:abstractNumId w:val="9"/>
  </w:num>
  <w:num w:numId="6" w16cid:durableId="2039309353">
    <w:abstractNumId w:val="4"/>
  </w:num>
  <w:num w:numId="7" w16cid:durableId="1178545213">
    <w:abstractNumId w:val="18"/>
  </w:num>
  <w:num w:numId="8" w16cid:durableId="115760149">
    <w:abstractNumId w:val="3"/>
  </w:num>
  <w:num w:numId="9" w16cid:durableId="1138648265">
    <w:abstractNumId w:val="0"/>
  </w:num>
  <w:num w:numId="10" w16cid:durableId="1779639729">
    <w:abstractNumId w:val="14"/>
  </w:num>
  <w:num w:numId="11" w16cid:durableId="139621272">
    <w:abstractNumId w:val="6"/>
  </w:num>
  <w:num w:numId="12" w16cid:durableId="1499080790">
    <w:abstractNumId w:val="6"/>
  </w:num>
  <w:num w:numId="13" w16cid:durableId="1993212803">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2130973864">
    <w:abstractNumId w:val="2"/>
  </w:num>
  <w:num w:numId="15" w16cid:durableId="1683972464">
    <w:abstractNumId w:val="16"/>
  </w:num>
  <w:num w:numId="16" w16cid:durableId="1835410023">
    <w:abstractNumId w:val="7"/>
  </w:num>
  <w:num w:numId="17" w16cid:durableId="2144272795">
    <w:abstractNumId w:val="10"/>
  </w:num>
  <w:num w:numId="18" w16cid:durableId="2145929973">
    <w:abstractNumId w:val="15"/>
  </w:num>
  <w:num w:numId="19" w16cid:durableId="845632061">
    <w:abstractNumId w:val="5"/>
  </w:num>
  <w:num w:numId="20" w16cid:durableId="533201419">
    <w:abstractNumId w:val="13"/>
  </w:num>
  <w:num w:numId="21" w16cid:durableId="1032804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67"/>
    <w:rsid w:val="000128BD"/>
    <w:rsid w:val="000442C9"/>
    <w:rsid w:val="000466B2"/>
    <w:rsid w:val="00050D48"/>
    <w:rsid w:val="0009319A"/>
    <w:rsid w:val="000931C2"/>
    <w:rsid w:val="00094287"/>
    <w:rsid w:val="000D746C"/>
    <w:rsid w:val="000E06C3"/>
    <w:rsid w:val="001068B7"/>
    <w:rsid w:val="00114E6B"/>
    <w:rsid w:val="00143BAE"/>
    <w:rsid w:val="001503FB"/>
    <w:rsid w:val="00150AFE"/>
    <w:rsid w:val="0015437B"/>
    <w:rsid w:val="001559B4"/>
    <w:rsid w:val="00187228"/>
    <w:rsid w:val="001904AE"/>
    <w:rsid w:val="001921E3"/>
    <w:rsid w:val="001A6086"/>
    <w:rsid w:val="001B0FB1"/>
    <w:rsid w:val="00207173"/>
    <w:rsid w:val="00217564"/>
    <w:rsid w:val="00280923"/>
    <w:rsid w:val="00281DC7"/>
    <w:rsid w:val="002C4949"/>
    <w:rsid w:val="002C4B95"/>
    <w:rsid w:val="002D06CF"/>
    <w:rsid w:val="00304D51"/>
    <w:rsid w:val="0031171D"/>
    <w:rsid w:val="00362AD5"/>
    <w:rsid w:val="00390B84"/>
    <w:rsid w:val="003B4EFF"/>
    <w:rsid w:val="003B60F0"/>
    <w:rsid w:val="003C2836"/>
    <w:rsid w:val="003C3927"/>
    <w:rsid w:val="003C49E1"/>
    <w:rsid w:val="003C7B33"/>
    <w:rsid w:val="003D566A"/>
    <w:rsid w:val="003E3C59"/>
    <w:rsid w:val="00401BF1"/>
    <w:rsid w:val="004128ED"/>
    <w:rsid w:val="00430D54"/>
    <w:rsid w:val="00431A36"/>
    <w:rsid w:val="004328EF"/>
    <w:rsid w:val="00462BE2"/>
    <w:rsid w:val="00465E85"/>
    <w:rsid w:val="00475956"/>
    <w:rsid w:val="0048176F"/>
    <w:rsid w:val="004A00CD"/>
    <w:rsid w:val="004A3631"/>
    <w:rsid w:val="004A3890"/>
    <w:rsid w:val="004C1C70"/>
    <w:rsid w:val="004D4E45"/>
    <w:rsid w:val="004D6179"/>
    <w:rsid w:val="004E7C91"/>
    <w:rsid w:val="0051116C"/>
    <w:rsid w:val="005143DB"/>
    <w:rsid w:val="005715F3"/>
    <w:rsid w:val="00586D50"/>
    <w:rsid w:val="0059410B"/>
    <w:rsid w:val="005A7E8A"/>
    <w:rsid w:val="005B59A3"/>
    <w:rsid w:val="005B7205"/>
    <w:rsid w:val="00610031"/>
    <w:rsid w:val="00612BBC"/>
    <w:rsid w:val="006204BB"/>
    <w:rsid w:val="00625901"/>
    <w:rsid w:val="00637E5E"/>
    <w:rsid w:val="00655978"/>
    <w:rsid w:val="00677D7A"/>
    <w:rsid w:val="00683032"/>
    <w:rsid w:val="006A14EC"/>
    <w:rsid w:val="006B2B35"/>
    <w:rsid w:val="006D5082"/>
    <w:rsid w:val="0071542D"/>
    <w:rsid w:val="007329CF"/>
    <w:rsid w:val="0074155A"/>
    <w:rsid w:val="0076020F"/>
    <w:rsid w:val="00776B8D"/>
    <w:rsid w:val="0079584C"/>
    <w:rsid w:val="007C62F0"/>
    <w:rsid w:val="007F19CC"/>
    <w:rsid w:val="008233E7"/>
    <w:rsid w:val="0082478D"/>
    <w:rsid w:val="00825003"/>
    <w:rsid w:val="008444BF"/>
    <w:rsid w:val="00863096"/>
    <w:rsid w:val="00894290"/>
    <w:rsid w:val="008A2DB7"/>
    <w:rsid w:val="008B6272"/>
    <w:rsid w:val="008D35A1"/>
    <w:rsid w:val="008D4EDE"/>
    <w:rsid w:val="008F30A1"/>
    <w:rsid w:val="008F4F13"/>
    <w:rsid w:val="008F6F3C"/>
    <w:rsid w:val="009010DB"/>
    <w:rsid w:val="00927DF5"/>
    <w:rsid w:val="0093524F"/>
    <w:rsid w:val="00994BB6"/>
    <w:rsid w:val="00A12E96"/>
    <w:rsid w:val="00A155DA"/>
    <w:rsid w:val="00A314F2"/>
    <w:rsid w:val="00A64E11"/>
    <w:rsid w:val="00A75BCD"/>
    <w:rsid w:val="00A86834"/>
    <w:rsid w:val="00AA4BA1"/>
    <w:rsid w:val="00AB12F1"/>
    <w:rsid w:val="00AB4116"/>
    <w:rsid w:val="00B04CA4"/>
    <w:rsid w:val="00B13333"/>
    <w:rsid w:val="00B579F5"/>
    <w:rsid w:val="00B61E7C"/>
    <w:rsid w:val="00B63680"/>
    <w:rsid w:val="00B63DAD"/>
    <w:rsid w:val="00B66E29"/>
    <w:rsid w:val="00B71D7B"/>
    <w:rsid w:val="00B83590"/>
    <w:rsid w:val="00B97090"/>
    <w:rsid w:val="00BD57A6"/>
    <w:rsid w:val="00BE611B"/>
    <w:rsid w:val="00C0698A"/>
    <w:rsid w:val="00C20951"/>
    <w:rsid w:val="00C21F2C"/>
    <w:rsid w:val="00C32286"/>
    <w:rsid w:val="00C372FF"/>
    <w:rsid w:val="00C976E4"/>
    <w:rsid w:val="00CA2CC4"/>
    <w:rsid w:val="00CB1A4E"/>
    <w:rsid w:val="00CB7DE6"/>
    <w:rsid w:val="00CC5FD6"/>
    <w:rsid w:val="00CF2224"/>
    <w:rsid w:val="00D2264C"/>
    <w:rsid w:val="00D33332"/>
    <w:rsid w:val="00D56E33"/>
    <w:rsid w:val="00D572F2"/>
    <w:rsid w:val="00DC5537"/>
    <w:rsid w:val="00DC653E"/>
    <w:rsid w:val="00DD2E85"/>
    <w:rsid w:val="00DE1AB3"/>
    <w:rsid w:val="00DE4203"/>
    <w:rsid w:val="00E36803"/>
    <w:rsid w:val="00E57F67"/>
    <w:rsid w:val="00E633EF"/>
    <w:rsid w:val="00E91DF7"/>
    <w:rsid w:val="00EA358B"/>
    <w:rsid w:val="00EB674E"/>
    <w:rsid w:val="00EC4638"/>
    <w:rsid w:val="00EE412C"/>
    <w:rsid w:val="00EE4606"/>
    <w:rsid w:val="00EE711F"/>
    <w:rsid w:val="00F351DC"/>
    <w:rsid w:val="00F42A78"/>
    <w:rsid w:val="00F433FB"/>
    <w:rsid w:val="00F9585A"/>
    <w:rsid w:val="00FA1479"/>
    <w:rsid w:val="00FC25D5"/>
    <w:rsid w:val="00FC4575"/>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FFAA5"/>
  <w15:chartTrackingRefBased/>
  <w15:docId w15:val="{97423ADF-986D-4401-9938-C6D35A7B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06"/>
  </w:style>
  <w:style w:type="paragraph" w:styleId="Heading1">
    <w:name w:val="heading 1"/>
    <w:basedOn w:val="Normal"/>
    <w:next w:val="Normal"/>
    <w:link w:val="Heading1Char"/>
    <w:uiPriority w:val="9"/>
    <w:qFormat/>
    <w:rsid w:val="00E57F67"/>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57F67"/>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E57F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67"/>
  </w:style>
  <w:style w:type="paragraph" w:styleId="Footer">
    <w:name w:val="footer"/>
    <w:basedOn w:val="Normal"/>
    <w:link w:val="FooterChar"/>
    <w:uiPriority w:val="99"/>
    <w:unhideWhenUsed/>
    <w:rsid w:val="00E5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67"/>
  </w:style>
  <w:style w:type="character" w:customStyle="1" w:styleId="Heading1Char">
    <w:name w:val="Heading 1 Char"/>
    <w:basedOn w:val="DefaultParagraphFont"/>
    <w:link w:val="Heading1"/>
    <w:uiPriority w:val="9"/>
    <w:rsid w:val="00E57F67"/>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E57F67"/>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E57F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B1A4E"/>
    <w:pPr>
      <w:ind w:left="720"/>
      <w:contextualSpacing/>
    </w:pPr>
  </w:style>
  <w:style w:type="table" w:styleId="TableGrid">
    <w:name w:val="Table Grid"/>
    <w:basedOn w:val="TableNormal"/>
    <w:uiPriority w:val="39"/>
    <w:rsid w:val="003C2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3332"/>
    <w:rPr>
      <w:b/>
      <w:bCs/>
    </w:rPr>
  </w:style>
  <w:style w:type="paragraph" w:styleId="NormalWeb">
    <w:name w:val="Normal (Web)"/>
    <w:basedOn w:val="Normal"/>
    <w:uiPriority w:val="99"/>
    <w:unhideWhenUsed/>
    <w:rsid w:val="00EA358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5537"/>
    <w:pPr>
      <w:spacing w:after="0" w:line="240" w:lineRule="auto"/>
    </w:pPr>
  </w:style>
  <w:style w:type="character" w:styleId="CommentReference">
    <w:name w:val="annotation reference"/>
    <w:basedOn w:val="DefaultParagraphFont"/>
    <w:uiPriority w:val="99"/>
    <w:semiHidden/>
    <w:unhideWhenUsed/>
    <w:rsid w:val="000128BD"/>
    <w:rPr>
      <w:sz w:val="16"/>
      <w:szCs w:val="16"/>
    </w:rPr>
  </w:style>
  <w:style w:type="paragraph" w:styleId="CommentText">
    <w:name w:val="annotation text"/>
    <w:basedOn w:val="Normal"/>
    <w:link w:val="CommentTextChar"/>
    <w:uiPriority w:val="99"/>
    <w:semiHidden/>
    <w:unhideWhenUsed/>
    <w:rsid w:val="000128BD"/>
    <w:pPr>
      <w:spacing w:line="240" w:lineRule="auto"/>
    </w:pPr>
    <w:rPr>
      <w:sz w:val="20"/>
      <w:szCs w:val="20"/>
    </w:rPr>
  </w:style>
  <w:style w:type="character" w:customStyle="1" w:styleId="CommentTextChar">
    <w:name w:val="Comment Text Char"/>
    <w:basedOn w:val="DefaultParagraphFont"/>
    <w:link w:val="CommentText"/>
    <w:uiPriority w:val="99"/>
    <w:semiHidden/>
    <w:rsid w:val="000128BD"/>
    <w:rPr>
      <w:sz w:val="20"/>
      <w:szCs w:val="20"/>
    </w:rPr>
  </w:style>
  <w:style w:type="paragraph" w:styleId="CommentSubject">
    <w:name w:val="annotation subject"/>
    <w:basedOn w:val="CommentText"/>
    <w:next w:val="CommentText"/>
    <w:link w:val="CommentSubjectChar"/>
    <w:uiPriority w:val="99"/>
    <w:semiHidden/>
    <w:unhideWhenUsed/>
    <w:rsid w:val="000128BD"/>
    <w:rPr>
      <w:b/>
      <w:bCs/>
    </w:rPr>
  </w:style>
  <w:style w:type="character" w:customStyle="1" w:styleId="CommentSubjectChar">
    <w:name w:val="Comment Subject Char"/>
    <w:basedOn w:val="CommentTextChar"/>
    <w:link w:val="CommentSubject"/>
    <w:uiPriority w:val="99"/>
    <w:semiHidden/>
    <w:rsid w:val="000128BD"/>
    <w:rPr>
      <w:b/>
      <w:bCs/>
      <w:sz w:val="20"/>
      <w:szCs w:val="20"/>
    </w:rPr>
  </w:style>
  <w:style w:type="character" w:styleId="Hyperlink">
    <w:name w:val="Hyperlink"/>
    <w:basedOn w:val="DefaultParagraphFont"/>
    <w:uiPriority w:val="99"/>
    <w:unhideWhenUsed/>
    <w:rsid w:val="00EE4606"/>
    <w:rPr>
      <w:color w:val="0563C1" w:themeColor="hyperlink"/>
      <w:u w:val="single"/>
    </w:rPr>
  </w:style>
  <w:style w:type="character" w:styleId="UnresolvedMention">
    <w:name w:val="Unresolved Mention"/>
    <w:basedOn w:val="DefaultParagraphFont"/>
    <w:uiPriority w:val="99"/>
    <w:semiHidden/>
    <w:unhideWhenUsed/>
    <w:rsid w:val="00EE4606"/>
    <w:rPr>
      <w:color w:val="605E5C"/>
      <w:shd w:val="clear" w:color="auto" w:fill="E1DFDD"/>
    </w:rPr>
  </w:style>
  <w:style w:type="character" w:styleId="FollowedHyperlink">
    <w:name w:val="FollowedHyperlink"/>
    <w:basedOn w:val="DefaultParagraphFont"/>
    <w:uiPriority w:val="99"/>
    <w:semiHidden/>
    <w:unhideWhenUsed/>
    <w:rsid w:val="002809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348">
      <w:bodyDiv w:val="1"/>
      <w:marLeft w:val="0"/>
      <w:marRight w:val="0"/>
      <w:marTop w:val="0"/>
      <w:marBottom w:val="0"/>
      <w:divBdr>
        <w:top w:val="none" w:sz="0" w:space="0" w:color="auto"/>
        <w:left w:val="none" w:sz="0" w:space="0" w:color="auto"/>
        <w:bottom w:val="none" w:sz="0" w:space="0" w:color="auto"/>
        <w:right w:val="none" w:sz="0" w:space="0" w:color="auto"/>
      </w:divBdr>
    </w:div>
    <w:div w:id="484123895">
      <w:bodyDiv w:val="1"/>
      <w:marLeft w:val="0"/>
      <w:marRight w:val="0"/>
      <w:marTop w:val="0"/>
      <w:marBottom w:val="0"/>
      <w:divBdr>
        <w:top w:val="none" w:sz="0" w:space="0" w:color="auto"/>
        <w:left w:val="none" w:sz="0" w:space="0" w:color="auto"/>
        <w:bottom w:val="none" w:sz="0" w:space="0" w:color="auto"/>
        <w:right w:val="none" w:sz="0" w:space="0" w:color="auto"/>
      </w:divBdr>
    </w:div>
    <w:div w:id="571038163">
      <w:bodyDiv w:val="1"/>
      <w:marLeft w:val="0"/>
      <w:marRight w:val="0"/>
      <w:marTop w:val="0"/>
      <w:marBottom w:val="0"/>
      <w:divBdr>
        <w:top w:val="none" w:sz="0" w:space="0" w:color="auto"/>
        <w:left w:val="none" w:sz="0" w:space="0" w:color="auto"/>
        <w:bottom w:val="none" w:sz="0" w:space="0" w:color="auto"/>
        <w:right w:val="none" w:sz="0" w:space="0" w:color="auto"/>
      </w:divBdr>
    </w:div>
    <w:div w:id="684212569">
      <w:bodyDiv w:val="1"/>
      <w:marLeft w:val="0"/>
      <w:marRight w:val="0"/>
      <w:marTop w:val="0"/>
      <w:marBottom w:val="0"/>
      <w:divBdr>
        <w:top w:val="none" w:sz="0" w:space="0" w:color="auto"/>
        <w:left w:val="none" w:sz="0" w:space="0" w:color="auto"/>
        <w:bottom w:val="none" w:sz="0" w:space="0" w:color="auto"/>
        <w:right w:val="none" w:sz="0" w:space="0" w:color="auto"/>
      </w:divBdr>
    </w:div>
    <w:div w:id="713312421">
      <w:bodyDiv w:val="1"/>
      <w:marLeft w:val="0"/>
      <w:marRight w:val="0"/>
      <w:marTop w:val="0"/>
      <w:marBottom w:val="0"/>
      <w:divBdr>
        <w:top w:val="none" w:sz="0" w:space="0" w:color="auto"/>
        <w:left w:val="none" w:sz="0" w:space="0" w:color="auto"/>
        <w:bottom w:val="none" w:sz="0" w:space="0" w:color="auto"/>
        <w:right w:val="none" w:sz="0" w:space="0" w:color="auto"/>
      </w:divBdr>
    </w:div>
    <w:div w:id="826366356">
      <w:bodyDiv w:val="1"/>
      <w:marLeft w:val="0"/>
      <w:marRight w:val="0"/>
      <w:marTop w:val="0"/>
      <w:marBottom w:val="0"/>
      <w:divBdr>
        <w:top w:val="none" w:sz="0" w:space="0" w:color="auto"/>
        <w:left w:val="none" w:sz="0" w:space="0" w:color="auto"/>
        <w:bottom w:val="none" w:sz="0" w:space="0" w:color="auto"/>
        <w:right w:val="none" w:sz="0" w:space="0" w:color="auto"/>
      </w:divBdr>
      <w:divsChild>
        <w:div w:id="1098675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078496">
      <w:bodyDiv w:val="1"/>
      <w:marLeft w:val="0"/>
      <w:marRight w:val="0"/>
      <w:marTop w:val="0"/>
      <w:marBottom w:val="0"/>
      <w:divBdr>
        <w:top w:val="none" w:sz="0" w:space="0" w:color="auto"/>
        <w:left w:val="none" w:sz="0" w:space="0" w:color="auto"/>
        <w:bottom w:val="none" w:sz="0" w:space="0" w:color="auto"/>
        <w:right w:val="none" w:sz="0" w:space="0" w:color="auto"/>
      </w:divBdr>
    </w:div>
    <w:div w:id="974020948">
      <w:bodyDiv w:val="1"/>
      <w:marLeft w:val="0"/>
      <w:marRight w:val="0"/>
      <w:marTop w:val="0"/>
      <w:marBottom w:val="0"/>
      <w:divBdr>
        <w:top w:val="none" w:sz="0" w:space="0" w:color="auto"/>
        <w:left w:val="none" w:sz="0" w:space="0" w:color="auto"/>
        <w:bottom w:val="none" w:sz="0" w:space="0" w:color="auto"/>
        <w:right w:val="none" w:sz="0" w:space="0" w:color="auto"/>
      </w:divBdr>
    </w:div>
    <w:div w:id="1089234098">
      <w:bodyDiv w:val="1"/>
      <w:marLeft w:val="0"/>
      <w:marRight w:val="0"/>
      <w:marTop w:val="0"/>
      <w:marBottom w:val="0"/>
      <w:divBdr>
        <w:top w:val="none" w:sz="0" w:space="0" w:color="auto"/>
        <w:left w:val="none" w:sz="0" w:space="0" w:color="auto"/>
        <w:bottom w:val="none" w:sz="0" w:space="0" w:color="auto"/>
        <w:right w:val="none" w:sz="0" w:space="0" w:color="auto"/>
      </w:divBdr>
    </w:div>
    <w:div w:id="1093550499">
      <w:bodyDiv w:val="1"/>
      <w:marLeft w:val="0"/>
      <w:marRight w:val="0"/>
      <w:marTop w:val="0"/>
      <w:marBottom w:val="0"/>
      <w:divBdr>
        <w:top w:val="none" w:sz="0" w:space="0" w:color="auto"/>
        <w:left w:val="none" w:sz="0" w:space="0" w:color="auto"/>
        <w:bottom w:val="none" w:sz="0" w:space="0" w:color="auto"/>
        <w:right w:val="none" w:sz="0" w:space="0" w:color="auto"/>
      </w:divBdr>
    </w:div>
    <w:div w:id="1146437664">
      <w:bodyDiv w:val="1"/>
      <w:marLeft w:val="0"/>
      <w:marRight w:val="0"/>
      <w:marTop w:val="0"/>
      <w:marBottom w:val="0"/>
      <w:divBdr>
        <w:top w:val="none" w:sz="0" w:space="0" w:color="auto"/>
        <w:left w:val="none" w:sz="0" w:space="0" w:color="auto"/>
        <w:bottom w:val="none" w:sz="0" w:space="0" w:color="auto"/>
        <w:right w:val="none" w:sz="0" w:space="0" w:color="auto"/>
      </w:divBdr>
    </w:div>
    <w:div w:id="1206455041">
      <w:bodyDiv w:val="1"/>
      <w:marLeft w:val="0"/>
      <w:marRight w:val="0"/>
      <w:marTop w:val="0"/>
      <w:marBottom w:val="0"/>
      <w:divBdr>
        <w:top w:val="none" w:sz="0" w:space="0" w:color="auto"/>
        <w:left w:val="none" w:sz="0" w:space="0" w:color="auto"/>
        <w:bottom w:val="none" w:sz="0" w:space="0" w:color="auto"/>
        <w:right w:val="none" w:sz="0" w:space="0" w:color="auto"/>
      </w:divBdr>
      <w:divsChild>
        <w:div w:id="2111121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310345">
      <w:bodyDiv w:val="1"/>
      <w:marLeft w:val="0"/>
      <w:marRight w:val="0"/>
      <w:marTop w:val="0"/>
      <w:marBottom w:val="0"/>
      <w:divBdr>
        <w:top w:val="none" w:sz="0" w:space="0" w:color="auto"/>
        <w:left w:val="none" w:sz="0" w:space="0" w:color="auto"/>
        <w:bottom w:val="none" w:sz="0" w:space="0" w:color="auto"/>
        <w:right w:val="none" w:sz="0" w:space="0" w:color="auto"/>
      </w:divBdr>
    </w:div>
    <w:div w:id="1244291348">
      <w:bodyDiv w:val="1"/>
      <w:marLeft w:val="0"/>
      <w:marRight w:val="0"/>
      <w:marTop w:val="0"/>
      <w:marBottom w:val="0"/>
      <w:divBdr>
        <w:top w:val="none" w:sz="0" w:space="0" w:color="auto"/>
        <w:left w:val="none" w:sz="0" w:space="0" w:color="auto"/>
        <w:bottom w:val="none" w:sz="0" w:space="0" w:color="auto"/>
        <w:right w:val="none" w:sz="0" w:space="0" w:color="auto"/>
      </w:divBdr>
    </w:div>
    <w:div w:id="1326324961">
      <w:bodyDiv w:val="1"/>
      <w:marLeft w:val="0"/>
      <w:marRight w:val="0"/>
      <w:marTop w:val="0"/>
      <w:marBottom w:val="0"/>
      <w:divBdr>
        <w:top w:val="none" w:sz="0" w:space="0" w:color="auto"/>
        <w:left w:val="none" w:sz="0" w:space="0" w:color="auto"/>
        <w:bottom w:val="none" w:sz="0" w:space="0" w:color="auto"/>
        <w:right w:val="none" w:sz="0" w:space="0" w:color="auto"/>
      </w:divBdr>
      <w:divsChild>
        <w:div w:id="1303729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074035">
      <w:bodyDiv w:val="1"/>
      <w:marLeft w:val="0"/>
      <w:marRight w:val="0"/>
      <w:marTop w:val="0"/>
      <w:marBottom w:val="0"/>
      <w:divBdr>
        <w:top w:val="none" w:sz="0" w:space="0" w:color="auto"/>
        <w:left w:val="none" w:sz="0" w:space="0" w:color="auto"/>
        <w:bottom w:val="none" w:sz="0" w:space="0" w:color="auto"/>
        <w:right w:val="none" w:sz="0" w:space="0" w:color="auto"/>
      </w:divBdr>
    </w:div>
    <w:div w:id="1579359286">
      <w:bodyDiv w:val="1"/>
      <w:marLeft w:val="0"/>
      <w:marRight w:val="0"/>
      <w:marTop w:val="0"/>
      <w:marBottom w:val="0"/>
      <w:divBdr>
        <w:top w:val="none" w:sz="0" w:space="0" w:color="auto"/>
        <w:left w:val="none" w:sz="0" w:space="0" w:color="auto"/>
        <w:bottom w:val="none" w:sz="0" w:space="0" w:color="auto"/>
        <w:right w:val="none" w:sz="0" w:space="0" w:color="auto"/>
      </w:divBdr>
    </w:div>
    <w:div w:id="1667199161">
      <w:bodyDiv w:val="1"/>
      <w:marLeft w:val="0"/>
      <w:marRight w:val="0"/>
      <w:marTop w:val="0"/>
      <w:marBottom w:val="0"/>
      <w:divBdr>
        <w:top w:val="none" w:sz="0" w:space="0" w:color="auto"/>
        <w:left w:val="none" w:sz="0" w:space="0" w:color="auto"/>
        <w:bottom w:val="none" w:sz="0" w:space="0" w:color="auto"/>
        <w:right w:val="none" w:sz="0" w:space="0" w:color="auto"/>
      </w:divBdr>
    </w:div>
    <w:div w:id="17538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ro.aace.com/recommendations/diabetes-clinical-" TargetMode="External"/><Relationship Id="rId18" Type="http://schemas.openxmlformats.org/officeDocument/2006/relationships/hyperlink" Target="https://link.springer.com/article/10.1007/s001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ccessdata.fda.gov/drugsatfda_docs/label/2023/019034s046lbl.pdf" TargetMode="External"/><Relationship Id="rId2" Type="http://schemas.openxmlformats.org/officeDocument/2006/relationships/styles" Target="styles.xml"/><Relationship Id="rId16" Type="http://schemas.openxmlformats.org/officeDocument/2006/relationships/hyperlink" Target="https://doi.org/10.1007/s00592-021-01728-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y.clevelandclinic.org/health/diseases/12361-sepsis" TargetMode="External"/><Relationship Id="rId10" Type="http://schemas.openxmlformats.org/officeDocument/2006/relationships/footer" Target="footer2.xml"/><Relationship Id="rId19" Type="http://schemas.openxmlformats.org/officeDocument/2006/relationships/hyperlink" Target="https://dailymed.nlm.nih.gov/dailymed/drugInfo.cfm?setid=19c22c9d-ece7-4a61-a376-8e7389e51d4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93/labmed/lmaa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Gentry</dc:creator>
  <cp:keywords/>
  <dc:description/>
  <cp:lastModifiedBy>Mary Egan</cp:lastModifiedBy>
  <cp:revision>3</cp:revision>
  <cp:lastPrinted>2022-12-09T01:06:00Z</cp:lastPrinted>
  <dcterms:created xsi:type="dcterms:W3CDTF">2025-06-18T22:44:00Z</dcterms:created>
  <dcterms:modified xsi:type="dcterms:W3CDTF">2025-06-18T22:54:00Z</dcterms:modified>
</cp:coreProperties>
</file>