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E20F" w14:textId="77777777" w:rsidR="00EE31BD" w:rsidRDefault="00EE31BD" w:rsidP="00EE31BD">
      <w:pPr>
        <w:pStyle w:val="NormalWeb"/>
        <w:rPr>
          <w:color w:val="000000"/>
        </w:rPr>
      </w:pPr>
      <w:r>
        <w:rPr>
          <w:color w:val="000000"/>
        </w:rPr>
        <w:t>Nurses play a critical role in promoting the integration of health care. Many health care institutions still operate with a non-integrated treatment approach, which negatively impacts outcomes for both physical and mental health conditions. The false divide between mental and physical health has harmed many patients, yet this mindset persists.</w:t>
      </w:r>
    </w:p>
    <w:p w14:paraId="63591A8F" w14:textId="77777777" w:rsidR="00EE31BD" w:rsidRDefault="00EE31BD" w:rsidP="00EE31BD">
      <w:pPr>
        <w:pStyle w:val="NormalWeb"/>
        <w:rPr>
          <w:color w:val="000000"/>
        </w:rPr>
      </w:pPr>
      <w:r>
        <w:rPr>
          <w:color w:val="000000"/>
        </w:rPr>
        <w:t>Until 2008, mental health care was considered separate and unequal in terms of insurance coverage and health care policy. The Paul Wellstone and Pete Domenici Mental Health Parity and Addiction Equity Act of 2008 mandated that insurance companies treat mental health care as equal to physical health care in all respects. This law required insurers to offer equivalent co-pays for visits to mental health care providers and to cover psychiatric medications on the same terms as medications for other health conditions. While this law did not fully eliminate disparities in mental health care, subsequent legislative and executive actions addressed loopholes that limited access to care. For most people, this law significantly improved the affordability and accessibility of mental health treatment (APA, 2014).</w:t>
      </w:r>
    </w:p>
    <w:p w14:paraId="6C5CDA3B" w14:textId="77777777" w:rsidR="00EE31BD" w:rsidRDefault="00EE31BD" w:rsidP="00EE31BD">
      <w:pPr>
        <w:pStyle w:val="NormalWeb"/>
        <w:rPr>
          <w:color w:val="000000"/>
        </w:rPr>
      </w:pPr>
      <w:r>
        <w:rPr>
          <w:color w:val="000000"/>
        </w:rPr>
        <w:t>However, this law does not require health care providers, such as primary care physicians, to treat mental health as equally important. Some primary care providers may not consider mental health a relevant part of their practice, which could explain the limited screenings and mental health assessments performed during routine primary care visits.</w:t>
      </w:r>
    </w:p>
    <w:p w14:paraId="412CFF85" w14:textId="77777777" w:rsidR="00EE31BD" w:rsidRDefault="00EE31BD" w:rsidP="00EE31BD">
      <w:pPr>
        <w:pStyle w:val="NormalWeb"/>
        <w:rPr>
          <w:color w:val="000000"/>
        </w:rPr>
      </w:pPr>
      <w:r>
        <w:rPr>
          <w:color w:val="000000"/>
        </w:rPr>
        <w:t>To illustrate this point, consider depression as a common mental health diagnosis that is often overlooked in the primary care setting. A study conducted between 2010 and 2018 examined a large female patient population, in which 13% were diagnosed with depression. Despite this, depression screenings occurred in primary care settings only 3% of the time. The study consistently found that mental health screenings were uncommon across all sexes and age groups. If primary care providers viewed mental health as equally integrated with physical health, screening for mental illness might be a more routine component of standard assessments. This presents an opportunity for nurses working in primary care to advocate for change and improve mental health screening processes (Jackson, 2022).</w:t>
      </w:r>
    </w:p>
    <w:p w14:paraId="76537558" w14:textId="77777777" w:rsidR="00EE31BD" w:rsidRDefault="00EE31BD" w:rsidP="00EE31BD">
      <w:pPr>
        <w:pStyle w:val="NormalWeb"/>
        <w:rPr>
          <w:color w:val="000000"/>
        </w:rPr>
      </w:pPr>
      <w:r>
        <w:rPr>
          <w:color w:val="000000"/>
        </w:rPr>
        <w:t>The failure to perform mental health assessments in primary care can lead to undiagnosed and untreated mental health disorders. Untreated mental illness can have devastating consequences on a patient’s health, personal life, work performance, and family relationships. It also poses safety risks to both the patient and their family. For example, depression can impair work performance and concentration, creating safety concerns depending on the individual’s occupation. In extreme cases, mental illness may increase the risk of either committing or becoming a victim of violence (Fazel, 2015).</w:t>
      </w:r>
    </w:p>
    <w:p w14:paraId="7AC99D9D" w14:textId="77777777" w:rsidR="00EE31BD" w:rsidRDefault="00EE31BD" w:rsidP="00EE31BD">
      <w:pPr>
        <w:pStyle w:val="NormalWeb"/>
        <w:rPr>
          <w:color w:val="000000"/>
        </w:rPr>
      </w:pPr>
      <w:r>
        <w:rPr>
          <w:color w:val="000000"/>
        </w:rPr>
        <w:t xml:space="preserve">Through our nursing education, we have learned that numerous medical conditions have psychiatric and behavioral manifestations. These include fluid and electrolyte imbalances, cardiovascular and pulmonary conditions, medication side effects, hormonal dysregulation, vitamin deficiencies, infections, brain injuries, and tumors. This extensive list highlights the potential for overlapping symptoms that could be overlooked in a patient presenting primarily with psychiatric concerns. For a nurse performing triage, differentiating these conditions during a quick assessment is complex but essential to identifying underlying medical causes. The lack of integration in our health care system exacerbates this issue, as mental and medical health </w:t>
      </w:r>
      <w:r>
        <w:rPr>
          <w:color w:val="000000"/>
        </w:rPr>
        <w:lastRenderedPageBreak/>
        <w:t>professionals often work in separate domains, leading to incomplete evaluations of patients’ conditions.</w:t>
      </w:r>
    </w:p>
    <w:p w14:paraId="23B0786A" w14:textId="77777777" w:rsidR="00EE31BD" w:rsidRDefault="00EE31BD" w:rsidP="00EE31BD">
      <w:pPr>
        <w:pStyle w:val="NormalWeb"/>
        <w:rPr>
          <w:color w:val="000000"/>
        </w:rPr>
      </w:pPr>
      <w:r>
        <w:rPr>
          <w:color w:val="000000"/>
        </w:rPr>
        <w:t xml:space="preserve">To further illustrate this point, consider the case of a middle-aged woman with a history of depression, treated with antidepressants since her children left for college. She has otherwise been healthy, with her primary interactions with health care professionals limited to annual exams and mental health care. </w:t>
      </w:r>
      <w:proofErr w:type="gramStart"/>
      <w:r>
        <w:rPr>
          <w:color w:val="000000"/>
        </w:rPr>
        <w:t>Suppose,</w:t>
      </w:r>
      <w:proofErr w:type="gramEnd"/>
      <w:r>
        <w:rPr>
          <w:color w:val="000000"/>
        </w:rPr>
        <w:t xml:space="preserve"> as a nurse, I observe that she has poor hygiene, reports sleep disturbances, and struggles to stay engaged at work. Given her history of depression, it would be easy to assume these symptoms are related to her mental health and advise her to follow up with her psychiatrist. However, as a nurse, I could also advocate for expanded testing to identify medical conditions that might be exacerbating her depression, such as nutritional deficiencies or hormonal imbalances. This scenario contrasts with the typical primary care experience, where individuals with depression who do not seek mental health-specific care are unlikely to be screened for depression by their primary care providers.</w:t>
      </w:r>
    </w:p>
    <w:p w14:paraId="44082F08" w14:textId="77777777" w:rsidR="00EE31BD" w:rsidRDefault="00EE31BD" w:rsidP="00EE31BD">
      <w:pPr>
        <w:pStyle w:val="NormalWeb"/>
        <w:rPr>
          <w:color w:val="000000"/>
        </w:rPr>
      </w:pPr>
      <w:r>
        <w:rPr>
          <w:color w:val="000000"/>
        </w:rPr>
        <w:t xml:space="preserve">I began this discussion with the Mental Health Parity Act, which required insurance companies to provide equal reimbursement for mental and physical health care. However, implementing this law required internal adjustments within insurance companies. Each insurer establishes its own billing procedures and criteria for reimbursable services while complying with federal regulations. These policies can significantly impact the </w:t>
      </w:r>
      <w:proofErr w:type="gramStart"/>
      <w:r>
        <w:rPr>
          <w:color w:val="000000"/>
        </w:rPr>
        <w:t>quality of care</w:t>
      </w:r>
      <w:proofErr w:type="gramEnd"/>
      <w:r>
        <w:rPr>
          <w:color w:val="000000"/>
        </w:rPr>
        <w:t xml:space="preserve"> patients receive.</w:t>
      </w:r>
    </w:p>
    <w:p w14:paraId="09012C69" w14:textId="4AA0750C" w:rsidR="00EE31BD" w:rsidRDefault="00EE31BD" w:rsidP="00EE31BD">
      <w:pPr>
        <w:pStyle w:val="NormalWeb"/>
        <w:rPr>
          <w:color w:val="000000"/>
        </w:rPr>
      </w:pPr>
      <w:r>
        <w:rPr>
          <w:color w:val="000000"/>
        </w:rPr>
        <w:t xml:space="preserve">In primary care settings, insurance company billing codes influence the time and effort spent on mental health assessments. For example, when a primary care office bills Medicare for depression assessments, it must meet certain follow-up service standards to receive payment. This raises the question: Do billing issues influence primary care providers' decisions on whether to administer mental health assessments? </w:t>
      </w:r>
      <w:r>
        <w:rPr>
          <w:color w:val="000000"/>
        </w:rPr>
        <w:t xml:space="preserve">Absolutely.   </w:t>
      </w:r>
      <w:r>
        <w:rPr>
          <w:color w:val="000000"/>
        </w:rPr>
        <w:t>Some primary care physicians cite the additional time required for mental health assessments as a burden in a busy practice (Hughes, 2017). However, this perspective is short-sighted. Mental health is integral to a patient’s overall well-being, impacting their work, family life, and physical health as significantly as any medical diagnosis. Additionally, a mental health assessment may uncover underlying conditions that would otherwise go unnoticed.</w:t>
      </w:r>
    </w:p>
    <w:p w14:paraId="0D117E35" w14:textId="5CF7785B" w:rsidR="00EE31BD" w:rsidRDefault="00EE31BD" w:rsidP="00EE31BD">
      <w:pPr>
        <w:pStyle w:val="NormalWeb"/>
        <w:rPr>
          <w:color w:val="000000"/>
        </w:rPr>
      </w:pPr>
      <w:r>
        <w:rPr>
          <w:color w:val="000000"/>
        </w:rPr>
        <w:t xml:space="preserve">Nurses </w:t>
      </w:r>
      <w:r>
        <w:rPr>
          <w:color w:val="000000"/>
        </w:rPr>
        <w:t>play a vital role in advancing integrated health assessments and fostering a more holistic approach to patient care. Untreated mental illness affects overall physical health, making primary care offices an ideal setting for regular mental health assessments. Maintaining an integrated approach is essential. The comprehensive head-to-toe assessment performed by nurses provides an opportunity to observe mental and behavioral health cues. When evaluating a patient with mental illness, nurses must remain objective and avoid overlooking physical health concerns. For example, when assessing a patient with major depression, it is essential to consider thyroid function, examine fingernails and skin, ask about hair loss, and palpate the neck for a goiter. Applying critical thinking without bias requires attentiveness to both mental and physical health.</w:t>
      </w:r>
    </w:p>
    <w:p w14:paraId="33F9F016" w14:textId="04726124" w:rsidR="00EE31BD" w:rsidRDefault="00EE31BD" w:rsidP="00EE31BD">
      <w:pPr>
        <w:pStyle w:val="NormalWeb"/>
        <w:rPr>
          <w:color w:val="000000"/>
        </w:rPr>
      </w:pPr>
      <w:r>
        <w:rPr>
          <w:color w:val="000000"/>
        </w:rPr>
        <w:t xml:space="preserve">Ultimately, meaning integration will occur at the institutional level. The gold standard will be a Collaborative Care Model </w:t>
      </w:r>
      <w:r w:rsidR="00115230">
        <w:rPr>
          <w:color w:val="000000"/>
        </w:rPr>
        <w:t xml:space="preserve">which creates a partnership between behavior health care providers and primary care providers.  In this model, patient treatment plans are created with input from a </w:t>
      </w:r>
      <w:r w:rsidR="00115230">
        <w:rPr>
          <w:color w:val="000000"/>
        </w:rPr>
        <w:lastRenderedPageBreak/>
        <w:t>team working from different professional perspective toward the same goal of wellness. (Mental Health America, 2025)</w:t>
      </w:r>
    </w:p>
    <w:p w14:paraId="5ABE751F" w14:textId="77777777" w:rsidR="00EE31BD" w:rsidRDefault="00EE31BD"/>
    <w:p w14:paraId="72F2003F" w14:textId="77777777" w:rsidR="00EE31BD" w:rsidRDefault="00EE31BD"/>
    <w:p w14:paraId="3AD24A2A" w14:textId="77777777" w:rsidR="00EE31BD" w:rsidRPr="00EE31BD" w:rsidRDefault="00EE31BD" w:rsidP="00EE31BD">
      <w:pPr>
        <w:rPr>
          <w:rFonts w:ascii="Times New Roman" w:hAnsi="Times New Roman" w:cs="Times New Roman"/>
          <w:sz w:val="32"/>
          <w:szCs w:val="32"/>
        </w:rPr>
      </w:pPr>
      <w:r w:rsidRPr="00EE31BD">
        <w:rPr>
          <w:rFonts w:ascii="Times New Roman" w:hAnsi="Times New Roman" w:cs="Times New Roman"/>
          <w:sz w:val="32"/>
          <w:szCs w:val="32"/>
        </w:rPr>
        <w:t>References</w:t>
      </w:r>
    </w:p>
    <w:p w14:paraId="307409F2" w14:textId="77777777" w:rsidR="00EE31BD" w:rsidRPr="00EE31BD" w:rsidRDefault="00EE31BD" w:rsidP="00EE31BD"/>
    <w:p w14:paraId="1AAA9144" w14:textId="1C93AC9B" w:rsidR="00EE31BD" w:rsidRPr="00EE31BD" w:rsidRDefault="00EE31BD" w:rsidP="00EE31BD">
      <w:pPr>
        <w:rPr>
          <w:rFonts w:ascii="Times New Roman" w:hAnsi="Times New Roman" w:cs="Times New Roman"/>
          <w:i/>
          <w:iCs/>
        </w:rPr>
      </w:pPr>
      <w:r w:rsidRPr="00EE31BD">
        <w:rPr>
          <w:rFonts w:ascii="Times New Roman" w:hAnsi="Times New Roman" w:cs="Times New Roman"/>
        </w:rPr>
        <w:t>American Psychological Association. (2014). </w:t>
      </w:r>
      <w:r w:rsidRPr="00EE31BD">
        <w:rPr>
          <w:rFonts w:ascii="Times New Roman" w:hAnsi="Times New Roman" w:cs="Times New Roman"/>
          <w:i/>
          <w:iCs/>
        </w:rPr>
        <w:t xml:space="preserve">Does your insurance cover mental </w:t>
      </w:r>
      <w:r>
        <w:rPr>
          <w:rFonts w:ascii="Times New Roman" w:hAnsi="Times New Roman" w:cs="Times New Roman"/>
          <w:i/>
          <w:iCs/>
        </w:rPr>
        <w:tab/>
      </w:r>
    </w:p>
    <w:p w14:paraId="31464C59"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i/>
          <w:iCs/>
        </w:rPr>
        <w:t xml:space="preserve">health </w:t>
      </w:r>
      <w:proofErr w:type="gramStart"/>
      <w:r w:rsidRPr="00EE31BD">
        <w:rPr>
          <w:rFonts w:ascii="Times New Roman" w:hAnsi="Times New Roman" w:cs="Times New Roman"/>
          <w:i/>
          <w:iCs/>
        </w:rPr>
        <w:t>services?</w:t>
      </w:r>
      <w:r w:rsidRPr="00EE31BD">
        <w:rPr>
          <w:rFonts w:ascii="Times New Roman" w:hAnsi="Times New Roman" w:cs="Times New Roman"/>
        </w:rPr>
        <w:t>https://www.apa.org/topics/managed-care-insurance/parity-guide</w:t>
      </w:r>
      <w:proofErr w:type="gramEnd"/>
    </w:p>
    <w:p w14:paraId="70EBCEDE" w14:textId="77777777" w:rsidR="00EE31BD" w:rsidRPr="00EE31BD" w:rsidRDefault="00EE31BD" w:rsidP="00EE31BD">
      <w:pPr>
        <w:rPr>
          <w:rFonts w:ascii="Times New Roman" w:hAnsi="Times New Roman" w:cs="Times New Roman"/>
        </w:rPr>
      </w:pPr>
      <w:r w:rsidRPr="00EE31BD">
        <w:rPr>
          <w:rFonts w:ascii="Times New Roman" w:hAnsi="Times New Roman" w:cs="Times New Roman"/>
        </w:rPr>
        <w:t xml:space="preserve">Fazel, </w:t>
      </w:r>
      <w:proofErr w:type="spellStart"/>
      <w:r w:rsidRPr="00EE31BD">
        <w:rPr>
          <w:rFonts w:ascii="Times New Roman" w:hAnsi="Times New Roman" w:cs="Times New Roman"/>
        </w:rPr>
        <w:t>Seena</w:t>
      </w:r>
      <w:proofErr w:type="spellEnd"/>
      <w:r w:rsidRPr="00EE31BD">
        <w:rPr>
          <w:rFonts w:ascii="Times New Roman" w:hAnsi="Times New Roman" w:cs="Times New Roman"/>
        </w:rPr>
        <w:t xml:space="preserve"> et al., (2015).  Depression and violence: a Swedish population study</w:t>
      </w:r>
    </w:p>
    <w:p w14:paraId="216C0101"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 xml:space="preserve">The Lancet Psychiatry, Volume 2, Issue 3, 224 – 232, </w:t>
      </w:r>
    </w:p>
    <w:p w14:paraId="476F3B7C" w14:textId="49C6E0B0" w:rsidR="00EE31BD" w:rsidRPr="00EE31BD" w:rsidRDefault="00EE31BD" w:rsidP="00EE31BD">
      <w:pPr>
        <w:ind w:firstLine="7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w:instrText>
      </w:r>
      <w:r w:rsidRPr="00EE31BD">
        <w:rPr>
          <w:rFonts w:ascii="Times New Roman" w:hAnsi="Times New Roman" w:cs="Times New Roman"/>
        </w:rPr>
        <w:instrText>https://www.thelancet.com/journals/lanpsy/article/PIIS2215-0366(14)00128-</w:instrText>
      </w:r>
      <w:r>
        <w:rPr>
          <w:rFonts w:ascii="Times New Roman" w:hAnsi="Times New Roman" w:cs="Times New Roman"/>
        </w:rPr>
        <w:instrText>"</w:instrText>
      </w:r>
      <w:r>
        <w:rPr>
          <w:rFonts w:ascii="Times New Roman" w:hAnsi="Times New Roman" w:cs="Times New Roman"/>
        </w:rPr>
        <w:fldChar w:fldCharType="separate"/>
      </w:r>
      <w:r w:rsidRPr="00EE31BD">
        <w:rPr>
          <w:rStyle w:val="Hyperlink"/>
          <w:rFonts w:ascii="Times New Roman" w:hAnsi="Times New Roman" w:cs="Times New Roman"/>
        </w:rPr>
        <w:t>https://www.thelancet.c</w:t>
      </w:r>
      <w:r w:rsidRPr="00EE31BD">
        <w:rPr>
          <w:rStyle w:val="Hyperlink"/>
          <w:rFonts w:ascii="Times New Roman" w:hAnsi="Times New Roman" w:cs="Times New Roman"/>
        </w:rPr>
        <w:t>o</w:t>
      </w:r>
      <w:r w:rsidRPr="00EE31BD">
        <w:rPr>
          <w:rStyle w:val="Hyperlink"/>
          <w:rFonts w:ascii="Times New Roman" w:hAnsi="Times New Roman" w:cs="Times New Roman"/>
        </w:rPr>
        <w:t>m/journals/lanpsy/article/PIIS2215-0366(14)00128-</w:t>
      </w:r>
      <w:r>
        <w:rPr>
          <w:rFonts w:ascii="Times New Roman" w:hAnsi="Times New Roman" w:cs="Times New Roman"/>
        </w:rPr>
        <w:fldChar w:fldCharType="end"/>
      </w:r>
    </w:p>
    <w:p w14:paraId="1149DFC3"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X/</w:t>
      </w:r>
      <w:proofErr w:type="spellStart"/>
      <w:r w:rsidRPr="00EE31BD">
        <w:rPr>
          <w:rFonts w:ascii="Times New Roman" w:hAnsi="Times New Roman" w:cs="Times New Roman"/>
        </w:rPr>
        <w:t>fulltext</w:t>
      </w:r>
      <w:proofErr w:type="spellEnd"/>
    </w:p>
    <w:p w14:paraId="5A19FBE7" w14:textId="77777777" w:rsidR="00EE31BD" w:rsidRPr="00EE31BD" w:rsidRDefault="00EE31BD" w:rsidP="00EE31BD">
      <w:pPr>
        <w:rPr>
          <w:rFonts w:ascii="Times New Roman" w:hAnsi="Times New Roman" w:cs="Times New Roman"/>
        </w:rPr>
      </w:pPr>
      <w:r w:rsidRPr="00EE31BD">
        <w:rPr>
          <w:rFonts w:ascii="Times New Roman" w:hAnsi="Times New Roman" w:cs="Times New Roman"/>
        </w:rPr>
        <w:t>Hughes, C. (2017, November). </w:t>
      </w:r>
      <w:r w:rsidRPr="00EE31BD">
        <w:rPr>
          <w:rFonts w:ascii="Times New Roman" w:hAnsi="Times New Roman" w:cs="Times New Roman"/>
          <w:i/>
          <w:iCs/>
        </w:rPr>
        <w:t>Getting paid for screening and assessment services</w:t>
      </w:r>
      <w:r w:rsidRPr="00EE31BD">
        <w:rPr>
          <w:rFonts w:ascii="Times New Roman" w:hAnsi="Times New Roman" w:cs="Times New Roman"/>
        </w:rPr>
        <w:t xml:space="preserve">. Family </w:t>
      </w:r>
    </w:p>
    <w:p w14:paraId="31E1B25F"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 xml:space="preserve">Practice Management, 24(6), 25 29.  </w:t>
      </w:r>
    </w:p>
    <w:p w14:paraId="3A84BE1B" w14:textId="300A6CAD" w:rsidR="00EE31BD" w:rsidRPr="00EE31BD" w:rsidRDefault="00EE31BD" w:rsidP="00EE31BD">
      <w:pPr>
        <w:rPr>
          <w:rFonts w:ascii="Times New Roman" w:hAnsi="Times New Roman" w:cs="Times New Roman"/>
        </w:rPr>
      </w:pPr>
      <w:r w:rsidRPr="00EE31BD">
        <w:rPr>
          <w:rFonts w:ascii="Times New Roman" w:hAnsi="Times New Roman" w:cs="Times New Roman"/>
        </w:rPr>
        <w:t> </w:t>
      </w:r>
      <w:r>
        <w:rPr>
          <w:rFonts w:ascii="Times New Roman" w:hAnsi="Times New Roman" w:cs="Times New Roman"/>
        </w:rPr>
        <w:tab/>
      </w:r>
      <w:hyperlink r:id="rId4" w:history="1">
        <w:r w:rsidRPr="00EE31BD">
          <w:rPr>
            <w:rStyle w:val="Hyperlink"/>
            <w:rFonts w:ascii="Times New Roman" w:hAnsi="Times New Roman" w:cs="Times New Roman"/>
          </w:rPr>
          <w:t>h</w:t>
        </w:r>
        <w:r w:rsidRPr="00EE31BD">
          <w:rPr>
            <w:rStyle w:val="Hyperlink"/>
            <w:rFonts w:ascii="Times New Roman" w:hAnsi="Times New Roman" w:cs="Times New Roman"/>
          </w:rPr>
          <w:t>t</w:t>
        </w:r>
        <w:r w:rsidRPr="00EE31BD">
          <w:rPr>
            <w:rStyle w:val="Hyperlink"/>
            <w:rFonts w:ascii="Times New Roman" w:hAnsi="Times New Roman" w:cs="Times New Roman"/>
          </w:rPr>
          <w:t>tps://www.aafp.org/pubs/fpm/issues/2017/1100/p25.html</w:t>
        </w:r>
      </w:hyperlink>
    </w:p>
    <w:p w14:paraId="117DD240" w14:textId="77777777" w:rsidR="00EE31BD" w:rsidRPr="00EE31BD" w:rsidRDefault="00EE31BD" w:rsidP="00EE31BD">
      <w:pPr>
        <w:rPr>
          <w:rFonts w:ascii="Times New Roman" w:hAnsi="Times New Roman" w:cs="Times New Roman"/>
        </w:rPr>
      </w:pPr>
      <w:r w:rsidRPr="00EE31BD">
        <w:rPr>
          <w:rFonts w:ascii="Times New Roman" w:hAnsi="Times New Roman" w:cs="Times New Roman"/>
        </w:rPr>
        <w:t xml:space="preserve">Jackson, J. L., </w:t>
      </w:r>
      <w:proofErr w:type="spellStart"/>
      <w:r w:rsidRPr="00EE31BD">
        <w:rPr>
          <w:rFonts w:ascii="Times New Roman" w:hAnsi="Times New Roman" w:cs="Times New Roman"/>
        </w:rPr>
        <w:t>Kuriyama</w:t>
      </w:r>
      <w:proofErr w:type="spellEnd"/>
      <w:r w:rsidRPr="00EE31BD">
        <w:rPr>
          <w:rFonts w:ascii="Times New Roman" w:hAnsi="Times New Roman" w:cs="Times New Roman"/>
        </w:rPr>
        <w:t xml:space="preserve">, A., Bernstein, J., &amp; </w:t>
      </w:r>
      <w:proofErr w:type="spellStart"/>
      <w:r w:rsidRPr="00EE31BD">
        <w:rPr>
          <w:rFonts w:ascii="Times New Roman" w:hAnsi="Times New Roman" w:cs="Times New Roman"/>
        </w:rPr>
        <w:t>Demchuk</w:t>
      </w:r>
      <w:proofErr w:type="spellEnd"/>
      <w:r w:rsidRPr="00EE31BD">
        <w:rPr>
          <w:rFonts w:ascii="Times New Roman" w:hAnsi="Times New Roman" w:cs="Times New Roman"/>
        </w:rPr>
        <w:t xml:space="preserve">, C. (2022). Depression in primary </w:t>
      </w:r>
    </w:p>
    <w:p w14:paraId="22F79CD2"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care, 2010-2018. </w:t>
      </w:r>
      <w:r w:rsidRPr="00EE31BD">
        <w:rPr>
          <w:rFonts w:ascii="Times New Roman" w:hAnsi="Times New Roman" w:cs="Times New Roman"/>
          <w:i/>
          <w:iCs/>
        </w:rPr>
        <w:t>The American Journal of Medicine, 135</w:t>
      </w:r>
      <w:r w:rsidRPr="00EE31BD">
        <w:rPr>
          <w:rFonts w:ascii="Times New Roman" w:hAnsi="Times New Roman" w:cs="Times New Roman"/>
        </w:rPr>
        <w:t>(10), 1163-</w:t>
      </w:r>
    </w:p>
    <w:p w14:paraId="1047E747"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1169. https://doi.org/10.1016/j.amjmed.2022.05.024</w:t>
      </w:r>
    </w:p>
    <w:p w14:paraId="3180511B" w14:textId="77777777" w:rsidR="00EE31BD" w:rsidRPr="00EE31BD" w:rsidRDefault="00EE31BD" w:rsidP="00EE31BD">
      <w:pPr>
        <w:rPr>
          <w:rFonts w:ascii="Times New Roman" w:hAnsi="Times New Roman" w:cs="Times New Roman"/>
        </w:rPr>
      </w:pPr>
      <w:r w:rsidRPr="00EE31BD">
        <w:rPr>
          <w:rFonts w:ascii="Times New Roman" w:hAnsi="Times New Roman" w:cs="Times New Roman"/>
        </w:rPr>
        <w:t>Mental Health America. (n.d.). </w:t>
      </w:r>
      <w:r w:rsidRPr="00EE31BD">
        <w:rPr>
          <w:rFonts w:ascii="Times New Roman" w:hAnsi="Times New Roman" w:cs="Times New Roman"/>
          <w:i/>
          <w:iCs/>
        </w:rPr>
        <w:t>Integration of mental and general health care</w:t>
      </w:r>
      <w:r w:rsidRPr="00EE31BD">
        <w:rPr>
          <w:rFonts w:ascii="Times New Roman" w:hAnsi="Times New Roman" w:cs="Times New Roman"/>
        </w:rPr>
        <w:t xml:space="preserve">. Mental </w:t>
      </w:r>
    </w:p>
    <w:p w14:paraId="22B44922" w14:textId="77777777"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 xml:space="preserve">Health America. Retrieved March 4, 2025, </w:t>
      </w:r>
    </w:p>
    <w:p w14:paraId="2CF47FA9" w14:textId="79666C66" w:rsidR="00EE31BD" w:rsidRPr="00EE31BD" w:rsidRDefault="00EE31BD" w:rsidP="00EE31BD">
      <w:pPr>
        <w:ind w:firstLine="720"/>
        <w:rPr>
          <w:rFonts w:ascii="Times New Roman" w:hAnsi="Times New Roman" w:cs="Times New Roman"/>
        </w:rPr>
      </w:pPr>
      <w:r w:rsidRPr="00EE31BD">
        <w:rPr>
          <w:rFonts w:ascii="Times New Roman" w:hAnsi="Times New Roman" w:cs="Times New Roman"/>
        </w:rPr>
        <w:t>from </w:t>
      </w:r>
      <w:hyperlink r:id="rId5" w:tgtFrame="_new" w:history="1">
        <w:r w:rsidRPr="00EE31BD">
          <w:rPr>
            <w:rStyle w:val="Hyperlink"/>
            <w:rFonts w:ascii="Times New Roman" w:hAnsi="Times New Roman" w:cs="Times New Roman"/>
          </w:rPr>
          <w:t>https://mhanatio</w:t>
        </w:r>
        <w:r w:rsidRPr="00EE31BD">
          <w:rPr>
            <w:rStyle w:val="Hyperlink"/>
            <w:rFonts w:ascii="Times New Roman" w:hAnsi="Times New Roman" w:cs="Times New Roman"/>
          </w:rPr>
          <w:t>n</w:t>
        </w:r>
        <w:r w:rsidRPr="00EE31BD">
          <w:rPr>
            <w:rStyle w:val="Hyperlink"/>
            <w:rFonts w:ascii="Times New Roman" w:hAnsi="Times New Roman" w:cs="Times New Roman"/>
          </w:rPr>
          <w:t>al.or</w:t>
        </w:r>
        <w:r w:rsidRPr="00EE31BD">
          <w:rPr>
            <w:rStyle w:val="Hyperlink"/>
            <w:rFonts w:ascii="Times New Roman" w:hAnsi="Times New Roman" w:cs="Times New Roman"/>
          </w:rPr>
          <w:t>g</w:t>
        </w:r>
        <w:r w:rsidRPr="00EE31BD">
          <w:rPr>
            <w:rStyle w:val="Hyperlink"/>
            <w:rFonts w:ascii="Times New Roman" w:hAnsi="Times New Roman" w:cs="Times New Roman"/>
          </w:rPr>
          <w:t>/iss</w:t>
        </w:r>
        <w:r w:rsidRPr="00EE31BD">
          <w:rPr>
            <w:rStyle w:val="Hyperlink"/>
            <w:rFonts w:ascii="Times New Roman" w:hAnsi="Times New Roman" w:cs="Times New Roman"/>
          </w:rPr>
          <w:t>u</w:t>
        </w:r>
        <w:r w:rsidRPr="00EE31BD">
          <w:rPr>
            <w:rStyle w:val="Hyperlink"/>
            <w:rFonts w:ascii="Times New Roman" w:hAnsi="Times New Roman" w:cs="Times New Roman"/>
          </w:rPr>
          <w:t>es/integration-menta</w:t>
        </w:r>
        <w:r w:rsidRPr="00EE31BD">
          <w:rPr>
            <w:rStyle w:val="Hyperlink"/>
            <w:rFonts w:ascii="Times New Roman" w:hAnsi="Times New Roman" w:cs="Times New Roman"/>
          </w:rPr>
          <w:t>l</w:t>
        </w:r>
        <w:r w:rsidRPr="00EE31BD">
          <w:rPr>
            <w:rStyle w:val="Hyperlink"/>
            <w:rFonts w:ascii="Times New Roman" w:hAnsi="Times New Roman" w:cs="Times New Roman"/>
          </w:rPr>
          <w:t>-and-general-health-care</w:t>
        </w:r>
      </w:hyperlink>
    </w:p>
    <w:sectPr w:rsidR="00EE31BD" w:rsidRPr="00EE3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BD"/>
    <w:rsid w:val="00115230"/>
    <w:rsid w:val="0029188C"/>
    <w:rsid w:val="0074649E"/>
    <w:rsid w:val="00EE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FF86E"/>
  <w15:chartTrackingRefBased/>
  <w15:docId w15:val="{E0201648-59B8-134F-9128-1DF1EDDC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BD"/>
    <w:rPr>
      <w:rFonts w:eastAsiaTheme="majorEastAsia" w:cstheme="majorBidi"/>
      <w:color w:val="272727" w:themeColor="text1" w:themeTint="D8"/>
    </w:rPr>
  </w:style>
  <w:style w:type="paragraph" w:styleId="Title">
    <w:name w:val="Title"/>
    <w:basedOn w:val="Normal"/>
    <w:next w:val="Normal"/>
    <w:link w:val="TitleChar"/>
    <w:uiPriority w:val="10"/>
    <w:qFormat/>
    <w:rsid w:val="00EE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BD"/>
    <w:pPr>
      <w:spacing w:before="160"/>
      <w:jc w:val="center"/>
    </w:pPr>
    <w:rPr>
      <w:i/>
      <w:iCs/>
      <w:color w:val="404040" w:themeColor="text1" w:themeTint="BF"/>
    </w:rPr>
  </w:style>
  <w:style w:type="character" w:customStyle="1" w:styleId="QuoteChar">
    <w:name w:val="Quote Char"/>
    <w:basedOn w:val="DefaultParagraphFont"/>
    <w:link w:val="Quote"/>
    <w:uiPriority w:val="29"/>
    <w:rsid w:val="00EE31BD"/>
    <w:rPr>
      <w:i/>
      <w:iCs/>
      <w:color w:val="404040" w:themeColor="text1" w:themeTint="BF"/>
    </w:rPr>
  </w:style>
  <w:style w:type="paragraph" w:styleId="ListParagraph">
    <w:name w:val="List Paragraph"/>
    <w:basedOn w:val="Normal"/>
    <w:uiPriority w:val="34"/>
    <w:qFormat/>
    <w:rsid w:val="00EE31BD"/>
    <w:pPr>
      <w:ind w:left="720"/>
      <w:contextualSpacing/>
    </w:pPr>
  </w:style>
  <w:style w:type="character" w:styleId="IntenseEmphasis">
    <w:name w:val="Intense Emphasis"/>
    <w:basedOn w:val="DefaultParagraphFont"/>
    <w:uiPriority w:val="21"/>
    <w:qFormat/>
    <w:rsid w:val="00EE31BD"/>
    <w:rPr>
      <w:i/>
      <w:iCs/>
      <w:color w:val="0F4761" w:themeColor="accent1" w:themeShade="BF"/>
    </w:rPr>
  </w:style>
  <w:style w:type="paragraph" w:styleId="IntenseQuote">
    <w:name w:val="Intense Quote"/>
    <w:basedOn w:val="Normal"/>
    <w:next w:val="Normal"/>
    <w:link w:val="IntenseQuoteChar"/>
    <w:uiPriority w:val="30"/>
    <w:qFormat/>
    <w:rsid w:val="00EE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1BD"/>
    <w:rPr>
      <w:i/>
      <w:iCs/>
      <w:color w:val="0F4761" w:themeColor="accent1" w:themeShade="BF"/>
    </w:rPr>
  </w:style>
  <w:style w:type="character" w:styleId="IntenseReference">
    <w:name w:val="Intense Reference"/>
    <w:basedOn w:val="DefaultParagraphFont"/>
    <w:uiPriority w:val="32"/>
    <w:qFormat/>
    <w:rsid w:val="00EE31BD"/>
    <w:rPr>
      <w:b/>
      <w:bCs/>
      <w:smallCaps/>
      <w:color w:val="0F4761" w:themeColor="accent1" w:themeShade="BF"/>
      <w:spacing w:val="5"/>
    </w:rPr>
  </w:style>
  <w:style w:type="paragraph" w:styleId="NormalWeb">
    <w:name w:val="Normal (Web)"/>
    <w:basedOn w:val="Normal"/>
    <w:uiPriority w:val="99"/>
    <w:semiHidden/>
    <w:unhideWhenUsed/>
    <w:rsid w:val="00EE31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E31BD"/>
    <w:rPr>
      <w:color w:val="467886" w:themeColor="hyperlink"/>
      <w:u w:val="single"/>
    </w:rPr>
  </w:style>
  <w:style w:type="character" w:styleId="UnresolvedMention">
    <w:name w:val="Unresolved Mention"/>
    <w:basedOn w:val="DefaultParagraphFont"/>
    <w:uiPriority w:val="99"/>
    <w:semiHidden/>
    <w:unhideWhenUsed/>
    <w:rsid w:val="00EE31BD"/>
    <w:rPr>
      <w:color w:val="605E5C"/>
      <w:shd w:val="clear" w:color="auto" w:fill="E1DFDD"/>
    </w:rPr>
  </w:style>
  <w:style w:type="character" w:styleId="FollowedHyperlink">
    <w:name w:val="FollowedHyperlink"/>
    <w:basedOn w:val="DefaultParagraphFont"/>
    <w:uiPriority w:val="99"/>
    <w:semiHidden/>
    <w:unhideWhenUsed/>
    <w:rsid w:val="00EE31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hanational.org/issues/integration-mental-and-general-health-care" TargetMode="External"/><Relationship Id="rId4" Type="http://schemas.openxmlformats.org/officeDocument/2006/relationships/hyperlink" Target="https://www.aafp.org/pubs/fpm/issues/2017/1100/p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1315</Words>
  <Characters>7300</Characters>
  <Application>Microsoft Office Word</Application>
  <DocSecurity>0</DocSecurity>
  <Lines>148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Egan</dc:creator>
  <cp:keywords/>
  <dc:description/>
  <cp:lastModifiedBy>Mary Egan</cp:lastModifiedBy>
  <cp:revision>1</cp:revision>
  <dcterms:created xsi:type="dcterms:W3CDTF">2025-03-06T05:17:00Z</dcterms:created>
  <dcterms:modified xsi:type="dcterms:W3CDTF">2025-03-06T06:20:00Z</dcterms:modified>
</cp:coreProperties>
</file>